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AF" w:rsidRDefault="00104730">
      <w:r>
        <w:t xml:space="preserve">1. </w:t>
      </w:r>
      <w:r>
        <w:tab/>
        <w:t>(</w:t>
      </w:r>
      <w:proofErr w:type="gramStart"/>
      <w:r>
        <w:t>a</w:t>
      </w:r>
      <w:proofErr w:type="gramEnd"/>
      <w:r>
        <w:t xml:space="preserve">) </w:t>
      </w:r>
      <w:r>
        <w:tab/>
        <w:t>The parameter of interest is the mean credit card balance.</w:t>
      </w:r>
    </w:p>
    <w:p w:rsidR="00104730" w:rsidRDefault="00104730">
      <w:r>
        <w:tab/>
        <w:t>(b)</w:t>
      </w:r>
      <w:r>
        <w:tab/>
        <w:t>The factor associated with this experiment is the type of credit card.</w:t>
      </w:r>
    </w:p>
    <w:p w:rsidR="00104730" w:rsidRDefault="00104730">
      <w:r>
        <w:tab/>
        <w:t>(c)</w:t>
      </w:r>
      <w:r>
        <w:tab/>
        <w:t>There are four levels of the factor, corresponding to the four types of card.</w:t>
      </w:r>
    </w:p>
    <w:p w:rsidR="00104730" w:rsidRDefault="00104730" w:rsidP="00104730">
      <w:pPr>
        <w:ind w:left="1418" w:hanging="709"/>
      </w:pPr>
      <w:r>
        <w:t>(d)</w:t>
      </w:r>
      <w:r>
        <w:tab/>
        <w:t xml:space="preserve">The number of degrees of freedom available for determining between sample </w:t>
      </w:r>
      <w:proofErr w:type="gramStart"/>
      <w:r>
        <w:t>variation</w:t>
      </w:r>
      <w:proofErr w:type="gramEnd"/>
      <w:r>
        <w:t xml:space="preserve"> is 4 - 1 = 3.</w:t>
      </w:r>
    </w:p>
    <w:p w:rsidR="00104730" w:rsidRDefault="00104730" w:rsidP="00104730">
      <w:pPr>
        <w:ind w:left="1418" w:hanging="709"/>
      </w:pPr>
      <w:r>
        <w:t>(e)</w:t>
      </w:r>
      <w:r>
        <w:tab/>
        <w:t>The number of degrees of freedom available for determining within sample variation is (25 + 25 + 26 + 24) - 4 = 96.</w:t>
      </w:r>
    </w:p>
    <w:p w:rsidR="009A081A" w:rsidRDefault="00104730" w:rsidP="00104730">
      <w:pPr>
        <w:ind w:left="1418" w:hanging="709"/>
      </w:pPr>
      <w:r>
        <w:t>(f)</w:t>
      </w:r>
      <w:r>
        <w:tab/>
        <w:t>The number of degrees of freedom available for determining total variation is (25 + 25 + 26 + 24) - 1 = 99.</w:t>
      </w:r>
    </w:p>
    <w:p w:rsidR="009A081A" w:rsidRDefault="009A081A">
      <w:r>
        <w:br w:type="page"/>
      </w:r>
    </w:p>
    <w:p w:rsidR="00104730" w:rsidRDefault="00104730">
      <w:r>
        <w:lastRenderedPageBreak/>
        <w:t>2.</w:t>
      </w:r>
      <w:r>
        <w:tab/>
        <w:t>(</w:t>
      </w:r>
      <w:proofErr w:type="gramStart"/>
      <w:r>
        <w:t>a</w:t>
      </w:r>
      <w:proofErr w:type="gramEnd"/>
      <w:r>
        <w:t>)</w:t>
      </w:r>
      <w:r>
        <w:tab/>
        <w:t xml:space="preserve">Group means </w:t>
      </w:r>
      <w:r w:rsidR="00EB12CE">
        <w:t xml:space="preserve">and variances </w:t>
      </w:r>
      <w:r>
        <w:t xml:space="preserve">for the eight </w:t>
      </w:r>
      <w:r w:rsidR="00EB12CE">
        <w:t>categori</w:t>
      </w:r>
      <w:r>
        <w:t xml:space="preserve">es of </w:t>
      </w:r>
      <w:r w:rsidR="00EB12CE">
        <w:t>mutual fun</w:t>
      </w:r>
      <w:r>
        <w:t>d are</w:t>
      </w:r>
      <w:r w:rsidR="00EB12CE">
        <w:t xml:space="preserve"> as under.</w:t>
      </w:r>
    </w:p>
    <w:tbl>
      <w:tblPr>
        <w:tblStyle w:val="TableGrid"/>
        <w:tblW w:w="7371" w:type="dxa"/>
        <w:tblInd w:w="1526" w:type="dxa"/>
        <w:tblLook w:val="04A0"/>
      </w:tblPr>
      <w:tblGrid>
        <w:gridCol w:w="1417"/>
        <w:gridCol w:w="718"/>
        <w:gridCol w:w="718"/>
        <w:gridCol w:w="691"/>
        <w:gridCol w:w="718"/>
        <w:gridCol w:w="718"/>
        <w:gridCol w:w="718"/>
        <w:gridCol w:w="822"/>
        <w:gridCol w:w="851"/>
      </w:tblGrid>
      <w:tr w:rsidR="00EB12CE" w:rsidTr="00541876">
        <w:tc>
          <w:tcPr>
            <w:tcW w:w="1417" w:type="dxa"/>
          </w:tcPr>
          <w:p w:rsidR="00EB12CE" w:rsidRDefault="00EB12CE">
            <w:r>
              <w:t>Mutual fund</w:t>
            </w:r>
          </w:p>
        </w:tc>
        <w:tc>
          <w:tcPr>
            <w:tcW w:w="718" w:type="dxa"/>
          </w:tcPr>
          <w:p w:rsidR="00EB12CE" w:rsidRDefault="00EB12CE" w:rsidP="00541876">
            <w:pPr>
              <w:jc w:val="center"/>
            </w:pPr>
            <w:r>
              <w:t>AG</w:t>
            </w:r>
          </w:p>
        </w:tc>
        <w:tc>
          <w:tcPr>
            <w:tcW w:w="718" w:type="dxa"/>
          </w:tcPr>
          <w:p w:rsidR="00EB12CE" w:rsidRDefault="00514D53" w:rsidP="00541876">
            <w:pPr>
              <w:jc w:val="center"/>
            </w:pPr>
            <w:r>
              <w:t>G</w:t>
            </w:r>
          </w:p>
        </w:tc>
        <w:tc>
          <w:tcPr>
            <w:tcW w:w="691" w:type="dxa"/>
          </w:tcPr>
          <w:p w:rsidR="00EB12CE" w:rsidRDefault="00514D53" w:rsidP="00541876">
            <w:pPr>
              <w:jc w:val="center"/>
            </w:pPr>
            <w:r>
              <w:t>G-I</w:t>
            </w:r>
          </w:p>
        </w:tc>
        <w:tc>
          <w:tcPr>
            <w:tcW w:w="718" w:type="dxa"/>
          </w:tcPr>
          <w:p w:rsidR="00EB12CE" w:rsidRDefault="00514D53" w:rsidP="00541876">
            <w:pPr>
              <w:jc w:val="center"/>
            </w:pPr>
            <w:r>
              <w:t>IF</w:t>
            </w:r>
          </w:p>
        </w:tc>
        <w:tc>
          <w:tcPr>
            <w:tcW w:w="718" w:type="dxa"/>
          </w:tcPr>
          <w:p w:rsidR="00EB12CE" w:rsidRDefault="00514D53" w:rsidP="00541876">
            <w:pPr>
              <w:jc w:val="center"/>
            </w:pPr>
            <w:r>
              <w:t>I</w:t>
            </w:r>
          </w:p>
        </w:tc>
        <w:tc>
          <w:tcPr>
            <w:tcW w:w="718" w:type="dxa"/>
          </w:tcPr>
          <w:p w:rsidR="00EB12CE" w:rsidRDefault="00514D53" w:rsidP="00541876">
            <w:pPr>
              <w:jc w:val="center"/>
            </w:pPr>
            <w:r>
              <w:t>AA</w:t>
            </w:r>
          </w:p>
        </w:tc>
        <w:tc>
          <w:tcPr>
            <w:tcW w:w="822" w:type="dxa"/>
          </w:tcPr>
          <w:p w:rsidR="00EB12CE" w:rsidRDefault="00514D53" w:rsidP="00541876">
            <w:pPr>
              <w:jc w:val="center"/>
            </w:pPr>
            <w:r>
              <w:t>PM</w:t>
            </w:r>
          </w:p>
        </w:tc>
        <w:tc>
          <w:tcPr>
            <w:tcW w:w="851" w:type="dxa"/>
          </w:tcPr>
          <w:p w:rsidR="00EB12CE" w:rsidRDefault="00514D53" w:rsidP="00541876">
            <w:pPr>
              <w:jc w:val="center"/>
            </w:pPr>
            <w:r>
              <w:t>B</w:t>
            </w:r>
          </w:p>
        </w:tc>
      </w:tr>
      <w:tr w:rsidR="00514D53" w:rsidTr="00541876">
        <w:tc>
          <w:tcPr>
            <w:tcW w:w="1417" w:type="dxa"/>
          </w:tcPr>
          <w:p w:rsidR="00514D53" w:rsidRDefault="00514D53">
            <w:r>
              <w:t>Mean</w:t>
            </w:r>
          </w:p>
        </w:tc>
        <w:tc>
          <w:tcPr>
            <w:tcW w:w="718" w:type="dxa"/>
          </w:tcPr>
          <w:p w:rsidR="00514D53" w:rsidRPr="00284217" w:rsidRDefault="00514D53" w:rsidP="00541876">
            <w:pPr>
              <w:jc w:val="right"/>
            </w:pPr>
            <w:r w:rsidRPr="00284217">
              <w:t>8.33</w:t>
            </w:r>
          </w:p>
        </w:tc>
        <w:tc>
          <w:tcPr>
            <w:tcW w:w="718" w:type="dxa"/>
          </w:tcPr>
          <w:p w:rsidR="00514D53" w:rsidRPr="00284217" w:rsidRDefault="00514D53" w:rsidP="00541876">
            <w:pPr>
              <w:jc w:val="right"/>
            </w:pPr>
            <w:r w:rsidRPr="00284217">
              <w:t>1.67</w:t>
            </w:r>
          </w:p>
        </w:tc>
        <w:tc>
          <w:tcPr>
            <w:tcW w:w="691" w:type="dxa"/>
          </w:tcPr>
          <w:p w:rsidR="00514D53" w:rsidRPr="00284217" w:rsidRDefault="00514D53" w:rsidP="00541876">
            <w:pPr>
              <w:jc w:val="right"/>
            </w:pPr>
            <w:r w:rsidRPr="00284217">
              <w:t>4.33</w:t>
            </w:r>
          </w:p>
        </w:tc>
        <w:tc>
          <w:tcPr>
            <w:tcW w:w="718" w:type="dxa"/>
          </w:tcPr>
          <w:p w:rsidR="00514D53" w:rsidRPr="00284217" w:rsidRDefault="00514D53" w:rsidP="00541876">
            <w:pPr>
              <w:jc w:val="right"/>
            </w:pPr>
            <w:r w:rsidRPr="00284217">
              <w:t>2.33</w:t>
            </w:r>
          </w:p>
        </w:tc>
        <w:tc>
          <w:tcPr>
            <w:tcW w:w="718" w:type="dxa"/>
          </w:tcPr>
          <w:p w:rsidR="00514D53" w:rsidRPr="00284217" w:rsidRDefault="00514D53" w:rsidP="00541876">
            <w:pPr>
              <w:jc w:val="right"/>
            </w:pPr>
            <w:r w:rsidRPr="00284217">
              <w:t>12.33</w:t>
            </w:r>
          </w:p>
        </w:tc>
        <w:tc>
          <w:tcPr>
            <w:tcW w:w="718" w:type="dxa"/>
          </w:tcPr>
          <w:p w:rsidR="00514D53" w:rsidRPr="00284217" w:rsidRDefault="00514D53" w:rsidP="00541876">
            <w:pPr>
              <w:jc w:val="right"/>
            </w:pPr>
            <w:r w:rsidRPr="00284217">
              <w:t>3.67</w:t>
            </w:r>
          </w:p>
        </w:tc>
        <w:tc>
          <w:tcPr>
            <w:tcW w:w="822" w:type="dxa"/>
          </w:tcPr>
          <w:p w:rsidR="00514D53" w:rsidRPr="00284217" w:rsidRDefault="00514D53" w:rsidP="00541876">
            <w:pPr>
              <w:jc w:val="right"/>
            </w:pPr>
            <w:r w:rsidRPr="00284217">
              <w:t>5.67</w:t>
            </w:r>
          </w:p>
        </w:tc>
        <w:tc>
          <w:tcPr>
            <w:tcW w:w="851" w:type="dxa"/>
          </w:tcPr>
          <w:p w:rsidR="00514D53" w:rsidRPr="00284217" w:rsidRDefault="00514D53" w:rsidP="00541876">
            <w:pPr>
              <w:jc w:val="right"/>
            </w:pPr>
            <w:r w:rsidRPr="00284217">
              <w:t>1.33</w:t>
            </w:r>
          </w:p>
        </w:tc>
      </w:tr>
      <w:tr w:rsidR="00514D53" w:rsidTr="00541876">
        <w:tc>
          <w:tcPr>
            <w:tcW w:w="1417" w:type="dxa"/>
          </w:tcPr>
          <w:p w:rsidR="00514D53" w:rsidRDefault="00514D53">
            <w:r>
              <w:t>Variance</w:t>
            </w:r>
          </w:p>
        </w:tc>
        <w:tc>
          <w:tcPr>
            <w:tcW w:w="718" w:type="dxa"/>
          </w:tcPr>
          <w:p w:rsidR="00514D53" w:rsidRPr="00284217" w:rsidRDefault="00514D53" w:rsidP="00541876">
            <w:pPr>
              <w:jc w:val="right"/>
            </w:pPr>
            <w:r w:rsidRPr="00284217">
              <w:t>10.33</w:t>
            </w:r>
          </w:p>
        </w:tc>
        <w:tc>
          <w:tcPr>
            <w:tcW w:w="718" w:type="dxa"/>
          </w:tcPr>
          <w:p w:rsidR="00514D53" w:rsidRPr="00284217" w:rsidRDefault="00514D53" w:rsidP="00541876">
            <w:pPr>
              <w:jc w:val="right"/>
            </w:pPr>
            <w:r w:rsidRPr="00284217">
              <w:t>22.33</w:t>
            </w:r>
          </w:p>
        </w:tc>
        <w:tc>
          <w:tcPr>
            <w:tcW w:w="691" w:type="dxa"/>
          </w:tcPr>
          <w:p w:rsidR="00514D53" w:rsidRPr="00284217" w:rsidRDefault="00514D53" w:rsidP="00541876">
            <w:pPr>
              <w:jc w:val="right"/>
            </w:pPr>
            <w:r w:rsidRPr="00284217">
              <w:t>4.33</w:t>
            </w:r>
          </w:p>
        </w:tc>
        <w:tc>
          <w:tcPr>
            <w:tcW w:w="718" w:type="dxa"/>
          </w:tcPr>
          <w:p w:rsidR="00514D53" w:rsidRPr="00284217" w:rsidRDefault="00514D53" w:rsidP="00541876">
            <w:pPr>
              <w:jc w:val="right"/>
            </w:pPr>
            <w:r w:rsidRPr="00284217">
              <w:t>10.33</w:t>
            </w:r>
          </w:p>
        </w:tc>
        <w:tc>
          <w:tcPr>
            <w:tcW w:w="718" w:type="dxa"/>
          </w:tcPr>
          <w:p w:rsidR="00514D53" w:rsidRPr="00284217" w:rsidRDefault="00514D53" w:rsidP="00541876">
            <w:pPr>
              <w:jc w:val="right"/>
            </w:pPr>
            <w:r w:rsidRPr="00284217">
              <w:t>4.33</w:t>
            </w:r>
          </w:p>
        </w:tc>
        <w:tc>
          <w:tcPr>
            <w:tcW w:w="718" w:type="dxa"/>
          </w:tcPr>
          <w:p w:rsidR="00514D53" w:rsidRPr="00284217" w:rsidRDefault="00514D53" w:rsidP="00541876">
            <w:pPr>
              <w:jc w:val="right"/>
            </w:pPr>
            <w:r w:rsidRPr="00284217">
              <w:t>33.33</w:t>
            </w:r>
          </w:p>
        </w:tc>
        <w:tc>
          <w:tcPr>
            <w:tcW w:w="822" w:type="dxa"/>
          </w:tcPr>
          <w:p w:rsidR="00514D53" w:rsidRPr="00284217" w:rsidRDefault="00514D53" w:rsidP="00541876">
            <w:pPr>
              <w:jc w:val="right"/>
            </w:pPr>
            <w:r w:rsidRPr="00284217">
              <w:t>1.33</w:t>
            </w:r>
          </w:p>
        </w:tc>
        <w:tc>
          <w:tcPr>
            <w:tcW w:w="851" w:type="dxa"/>
          </w:tcPr>
          <w:p w:rsidR="00514D53" w:rsidRDefault="00514D53" w:rsidP="00541876">
            <w:pPr>
              <w:jc w:val="right"/>
            </w:pPr>
            <w:r w:rsidRPr="00284217">
              <w:t>4.33</w:t>
            </w:r>
          </w:p>
        </w:tc>
      </w:tr>
    </w:tbl>
    <w:p w:rsidR="009A0D37" w:rsidRDefault="009A0D37">
      <w:r>
        <w:tab/>
      </w:r>
      <w:r>
        <w:tab/>
      </w:r>
    </w:p>
    <w:p w:rsidR="009A0D37" w:rsidRDefault="009A0D37">
      <w:r>
        <w:tab/>
      </w:r>
      <w:r>
        <w:tab/>
        <w:t xml:space="preserve">The </w:t>
      </w:r>
      <w:r w:rsidR="00994219">
        <w:t>one</w:t>
      </w:r>
      <w:r>
        <w:t>-way ANOVA table for single observation per cell is as follows.</w:t>
      </w:r>
    </w:p>
    <w:tbl>
      <w:tblPr>
        <w:tblStyle w:val="TableGrid"/>
        <w:tblW w:w="0" w:type="auto"/>
        <w:tblInd w:w="1526" w:type="dxa"/>
        <w:tblLook w:val="04A0"/>
      </w:tblPr>
      <w:tblGrid>
        <w:gridCol w:w="1984"/>
        <w:gridCol w:w="1309"/>
        <w:gridCol w:w="1276"/>
        <w:gridCol w:w="1276"/>
        <w:gridCol w:w="1275"/>
      </w:tblGrid>
      <w:tr w:rsidR="009A0D37" w:rsidTr="00763D0F">
        <w:tc>
          <w:tcPr>
            <w:tcW w:w="1984" w:type="dxa"/>
          </w:tcPr>
          <w:p w:rsidR="009A0D37" w:rsidRPr="004231CC" w:rsidRDefault="009A0D37" w:rsidP="006937AF">
            <w:r w:rsidRPr="004231CC">
              <w:t>Source of Variation</w:t>
            </w:r>
          </w:p>
        </w:tc>
        <w:tc>
          <w:tcPr>
            <w:tcW w:w="1309" w:type="dxa"/>
          </w:tcPr>
          <w:p w:rsidR="009A0D37" w:rsidRPr="004231CC" w:rsidRDefault="009A0D37" w:rsidP="00541876">
            <w:pPr>
              <w:jc w:val="center"/>
            </w:pPr>
            <w:r w:rsidRPr="004231CC">
              <w:t>S</w:t>
            </w:r>
            <w:r>
              <w:t xml:space="preserve">um of </w:t>
            </w:r>
            <w:r w:rsidRPr="004231CC">
              <w:t>S</w:t>
            </w:r>
            <w:r>
              <w:t>quares</w:t>
            </w:r>
          </w:p>
        </w:tc>
        <w:tc>
          <w:tcPr>
            <w:tcW w:w="1276" w:type="dxa"/>
          </w:tcPr>
          <w:p w:rsidR="009A0D37" w:rsidRPr="004231CC" w:rsidRDefault="009A0D37" w:rsidP="00541876">
            <w:pPr>
              <w:jc w:val="center"/>
            </w:pPr>
            <w:r>
              <w:t>Degrees of Freedom</w:t>
            </w:r>
          </w:p>
        </w:tc>
        <w:tc>
          <w:tcPr>
            <w:tcW w:w="1276" w:type="dxa"/>
          </w:tcPr>
          <w:p w:rsidR="009A0D37" w:rsidRPr="004231CC" w:rsidRDefault="009A0D37" w:rsidP="00541876">
            <w:pPr>
              <w:jc w:val="center"/>
            </w:pPr>
            <w:r w:rsidRPr="004231CC">
              <w:t>M</w:t>
            </w:r>
            <w:r>
              <w:t xml:space="preserve">ean </w:t>
            </w:r>
            <w:r w:rsidRPr="004231CC">
              <w:t>S</w:t>
            </w:r>
            <w:r>
              <w:t>quare</w:t>
            </w:r>
          </w:p>
        </w:tc>
        <w:tc>
          <w:tcPr>
            <w:tcW w:w="1275" w:type="dxa"/>
          </w:tcPr>
          <w:p w:rsidR="009A0D37" w:rsidRPr="004231CC" w:rsidRDefault="009A0D37" w:rsidP="00541876">
            <w:pPr>
              <w:jc w:val="center"/>
            </w:pPr>
            <w:r w:rsidRPr="004231CC">
              <w:t>F</w:t>
            </w:r>
            <w:r>
              <w:t xml:space="preserve"> ratio</w:t>
            </w:r>
          </w:p>
        </w:tc>
      </w:tr>
      <w:tr w:rsidR="009A0D37" w:rsidTr="00763D0F">
        <w:tc>
          <w:tcPr>
            <w:tcW w:w="1984" w:type="dxa"/>
          </w:tcPr>
          <w:p w:rsidR="009A0D37" w:rsidRPr="004231CC" w:rsidRDefault="00763D0F" w:rsidP="00763D0F">
            <w:r>
              <w:t xml:space="preserve">Between </w:t>
            </w:r>
            <w:r w:rsidR="009A0D37">
              <w:t xml:space="preserve">MF </w:t>
            </w:r>
            <w:r>
              <w:t>types</w:t>
            </w:r>
          </w:p>
        </w:tc>
        <w:tc>
          <w:tcPr>
            <w:tcW w:w="1309" w:type="dxa"/>
          </w:tcPr>
          <w:p w:rsidR="009A0D37" w:rsidRPr="004231CC" w:rsidRDefault="009A0D37" w:rsidP="00763D0F">
            <w:pPr>
              <w:jc w:val="right"/>
            </w:pPr>
            <w:r w:rsidRPr="004231CC">
              <w:t>297.6</w:t>
            </w:r>
            <w:r w:rsidR="00763D0F">
              <w:t>25</w:t>
            </w:r>
          </w:p>
        </w:tc>
        <w:tc>
          <w:tcPr>
            <w:tcW w:w="1276" w:type="dxa"/>
          </w:tcPr>
          <w:p w:rsidR="009A0D37" w:rsidRPr="004231CC" w:rsidRDefault="009A0D37" w:rsidP="00541876">
            <w:pPr>
              <w:jc w:val="right"/>
            </w:pPr>
            <w:r w:rsidRPr="004231CC">
              <w:t>7</w:t>
            </w:r>
          </w:p>
        </w:tc>
        <w:tc>
          <w:tcPr>
            <w:tcW w:w="1276" w:type="dxa"/>
          </w:tcPr>
          <w:p w:rsidR="009A0D37" w:rsidRPr="004231CC" w:rsidRDefault="009A0D37" w:rsidP="00763D0F">
            <w:pPr>
              <w:jc w:val="right"/>
            </w:pPr>
            <w:r w:rsidRPr="004231CC">
              <w:t>42.5</w:t>
            </w:r>
            <w:r w:rsidR="00763D0F">
              <w:t>18</w:t>
            </w:r>
          </w:p>
        </w:tc>
        <w:tc>
          <w:tcPr>
            <w:tcW w:w="1275" w:type="dxa"/>
          </w:tcPr>
          <w:p w:rsidR="009A0D37" w:rsidRPr="004231CC" w:rsidRDefault="009A0D37" w:rsidP="00763D0F">
            <w:pPr>
              <w:jc w:val="right"/>
            </w:pPr>
            <w:r w:rsidRPr="004231CC">
              <w:t>3.</w:t>
            </w:r>
            <w:r w:rsidR="00763D0F">
              <w:t>752</w:t>
            </w:r>
          </w:p>
        </w:tc>
      </w:tr>
      <w:tr w:rsidR="009A0D37" w:rsidTr="00763D0F">
        <w:tc>
          <w:tcPr>
            <w:tcW w:w="1984" w:type="dxa"/>
          </w:tcPr>
          <w:p w:rsidR="009A0D37" w:rsidRPr="004231CC" w:rsidRDefault="00763D0F" w:rsidP="006937AF">
            <w:r>
              <w:t>Within MF types</w:t>
            </w:r>
          </w:p>
        </w:tc>
        <w:tc>
          <w:tcPr>
            <w:tcW w:w="1309" w:type="dxa"/>
          </w:tcPr>
          <w:p w:rsidR="009A0D37" w:rsidRPr="004231CC" w:rsidRDefault="009A0D37" w:rsidP="00763D0F">
            <w:pPr>
              <w:jc w:val="right"/>
            </w:pPr>
            <w:r w:rsidRPr="004231CC">
              <w:t>1</w:t>
            </w:r>
            <w:r w:rsidR="00763D0F">
              <w:t>81.333</w:t>
            </w:r>
          </w:p>
        </w:tc>
        <w:tc>
          <w:tcPr>
            <w:tcW w:w="1276" w:type="dxa"/>
          </w:tcPr>
          <w:p w:rsidR="009A0D37" w:rsidRPr="004231CC" w:rsidRDefault="009A0D37" w:rsidP="00763D0F">
            <w:pPr>
              <w:jc w:val="right"/>
            </w:pPr>
            <w:r w:rsidRPr="004231CC">
              <w:t>1</w:t>
            </w:r>
            <w:r w:rsidR="00763D0F">
              <w:t>6</w:t>
            </w:r>
          </w:p>
        </w:tc>
        <w:tc>
          <w:tcPr>
            <w:tcW w:w="1276" w:type="dxa"/>
          </w:tcPr>
          <w:p w:rsidR="009A0D37" w:rsidRPr="004231CC" w:rsidRDefault="009A0D37" w:rsidP="00763D0F">
            <w:pPr>
              <w:jc w:val="right"/>
            </w:pPr>
            <w:r w:rsidRPr="004231CC">
              <w:t>1</w:t>
            </w:r>
            <w:r w:rsidR="00763D0F">
              <w:t>1</w:t>
            </w:r>
            <w:r w:rsidRPr="004231CC">
              <w:t>.</w:t>
            </w:r>
            <w:r w:rsidR="00763D0F">
              <w:t>333</w:t>
            </w:r>
          </w:p>
        </w:tc>
        <w:tc>
          <w:tcPr>
            <w:tcW w:w="1275" w:type="dxa"/>
          </w:tcPr>
          <w:p w:rsidR="009A0D37" w:rsidRPr="004231CC" w:rsidRDefault="009A0D37" w:rsidP="00541876">
            <w:pPr>
              <w:jc w:val="right"/>
            </w:pPr>
          </w:p>
        </w:tc>
      </w:tr>
      <w:tr w:rsidR="009A0D37" w:rsidTr="00763D0F">
        <w:tc>
          <w:tcPr>
            <w:tcW w:w="1984" w:type="dxa"/>
          </w:tcPr>
          <w:p w:rsidR="009A0D37" w:rsidRPr="004231CC" w:rsidRDefault="009A0D37" w:rsidP="006937AF">
            <w:r w:rsidRPr="004231CC">
              <w:t>Total</w:t>
            </w:r>
          </w:p>
        </w:tc>
        <w:tc>
          <w:tcPr>
            <w:tcW w:w="1309" w:type="dxa"/>
          </w:tcPr>
          <w:p w:rsidR="009A0D37" w:rsidRPr="004231CC" w:rsidRDefault="009A0D37" w:rsidP="00541876">
            <w:pPr>
              <w:jc w:val="right"/>
            </w:pPr>
            <w:r w:rsidRPr="004231CC">
              <w:t>478.96</w:t>
            </w:r>
          </w:p>
        </w:tc>
        <w:tc>
          <w:tcPr>
            <w:tcW w:w="1276" w:type="dxa"/>
          </w:tcPr>
          <w:p w:rsidR="009A0D37" w:rsidRPr="004231CC" w:rsidRDefault="009A0D37" w:rsidP="00541876">
            <w:pPr>
              <w:jc w:val="right"/>
            </w:pPr>
            <w:r w:rsidRPr="004231CC">
              <w:t>23</w:t>
            </w:r>
          </w:p>
        </w:tc>
        <w:tc>
          <w:tcPr>
            <w:tcW w:w="1276" w:type="dxa"/>
          </w:tcPr>
          <w:p w:rsidR="009A0D37" w:rsidRPr="004231CC" w:rsidRDefault="009A0D37" w:rsidP="00541876">
            <w:pPr>
              <w:jc w:val="right"/>
            </w:pPr>
          </w:p>
        </w:tc>
        <w:tc>
          <w:tcPr>
            <w:tcW w:w="1275" w:type="dxa"/>
          </w:tcPr>
          <w:p w:rsidR="009A0D37" w:rsidRDefault="009A0D37" w:rsidP="00541876">
            <w:pPr>
              <w:jc w:val="right"/>
            </w:pPr>
          </w:p>
        </w:tc>
      </w:tr>
    </w:tbl>
    <w:p w:rsidR="009A0D37" w:rsidRDefault="009A0D37"/>
    <w:p w:rsidR="00541876" w:rsidRDefault="00541876" w:rsidP="00541876">
      <w:pPr>
        <w:ind w:left="1418"/>
        <w:jc w:val="both"/>
      </w:pPr>
      <w:r>
        <w:tab/>
        <w:t>Variation across MF categories can be tested by the F-ratio in the above table, 3.</w:t>
      </w:r>
      <w:r w:rsidR="00763D0F">
        <w:t>752</w:t>
      </w:r>
      <w:r>
        <w:t>. Under the null hypothesis of no significant difference of mean percentage gains across the categories, this ratio should have the F distribution with 7 and 1</w:t>
      </w:r>
      <w:r w:rsidR="00763D0F">
        <w:t>6</w:t>
      </w:r>
      <w:r>
        <w:t xml:space="preserve"> degrees of freedom. The critical value of this distribution for 5% level of significance is </w:t>
      </w:r>
      <w:r w:rsidR="00F81278">
        <w:t>2.</w:t>
      </w:r>
      <w:r w:rsidR="00763D0F">
        <w:t>657</w:t>
      </w:r>
      <w:r w:rsidR="00F81278">
        <w:t xml:space="preserve">, which is exceeded by the observed F-value. Therefore, it can be concluded that </w:t>
      </w:r>
      <w:r w:rsidR="00F81278" w:rsidRPr="00F81278">
        <w:rPr>
          <w:i/>
        </w:rPr>
        <w:t xml:space="preserve">there is </w:t>
      </w:r>
      <w:r w:rsidR="00F81278">
        <w:rPr>
          <w:i/>
        </w:rPr>
        <w:t xml:space="preserve">statistically </w:t>
      </w:r>
      <w:r w:rsidR="00F81278" w:rsidRPr="00F81278">
        <w:rPr>
          <w:i/>
        </w:rPr>
        <w:t>significant variation in the mean percentage gains across the categories</w:t>
      </w:r>
      <w:r w:rsidR="00F81278">
        <w:t>. For the record, the p-value of this test is 0.0</w:t>
      </w:r>
      <w:r w:rsidR="00763D0F">
        <w:t>135</w:t>
      </w:r>
      <w:r w:rsidR="00F81278">
        <w:t xml:space="preserve"> (smaller than 0.05).</w:t>
      </w:r>
    </w:p>
    <w:p w:rsidR="009A0D37" w:rsidRDefault="00AA6710" w:rsidP="008526A4">
      <w:pPr>
        <w:ind w:left="1418" w:hanging="567"/>
      </w:pPr>
      <w:r>
        <w:t>(b)</w:t>
      </w:r>
      <w:r>
        <w:tab/>
      </w:r>
      <w:r w:rsidR="008526A4">
        <w:t xml:space="preserve">The 0.05 upper </w:t>
      </w:r>
      <w:proofErr w:type="spellStart"/>
      <w:r w:rsidR="008526A4">
        <w:t>quantile</w:t>
      </w:r>
      <w:proofErr w:type="spellEnd"/>
      <w:r w:rsidR="008526A4">
        <w:t xml:space="preserve"> of </w:t>
      </w:r>
      <w:proofErr w:type="spellStart"/>
      <w:r w:rsidR="008526A4">
        <w:t>studentized</w:t>
      </w:r>
      <w:proofErr w:type="spellEnd"/>
      <w:r w:rsidR="008526A4">
        <w:t xml:space="preserve"> range distribution for degrees of freedom 8 and 16 is </w:t>
      </w:r>
      <w:r w:rsidR="00994219">
        <w:t>4.896</w:t>
      </w:r>
      <w:r w:rsidR="008526A4">
        <w:t xml:space="preserve">. Per group sample size is 3, estimated error variance is 11.333. Thus, the threshold for </w:t>
      </w:r>
      <w:proofErr w:type="spellStart"/>
      <w:r w:rsidR="008526A4">
        <w:t>Tukey</w:t>
      </w:r>
      <w:proofErr w:type="spellEnd"/>
      <w:r w:rsidR="008526A4">
        <w:t>-Kramer multiple comparisons test is 9.516. The table of absolute group mean differences is shown below, with values above threshold marked in red.</w:t>
      </w:r>
    </w:p>
    <w:tbl>
      <w:tblPr>
        <w:tblStyle w:val="TableGrid"/>
        <w:tblW w:w="7663" w:type="dxa"/>
        <w:tblInd w:w="1526" w:type="dxa"/>
        <w:tblLook w:val="04A0"/>
      </w:tblPr>
      <w:tblGrid>
        <w:gridCol w:w="709"/>
        <w:gridCol w:w="870"/>
        <w:gridCol w:w="870"/>
        <w:gridCol w:w="869"/>
        <w:gridCol w:w="869"/>
        <w:gridCol w:w="869"/>
        <w:gridCol w:w="869"/>
        <w:gridCol w:w="869"/>
        <w:gridCol w:w="869"/>
      </w:tblGrid>
      <w:tr w:rsidR="008526A4" w:rsidTr="008526A4">
        <w:tc>
          <w:tcPr>
            <w:tcW w:w="709" w:type="dxa"/>
          </w:tcPr>
          <w:p w:rsidR="008526A4" w:rsidRPr="00AC519A" w:rsidRDefault="008526A4" w:rsidP="003A429D"/>
        </w:tc>
        <w:tc>
          <w:tcPr>
            <w:tcW w:w="870" w:type="dxa"/>
          </w:tcPr>
          <w:p w:rsidR="008526A4" w:rsidRPr="00AC519A" w:rsidRDefault="008526A4" w:rsidP="008526A4">
            <w:pPr>
              <w:jc w:val="center"/>
            </w:pPr>
            <w:r w:rsidRPr="00AC519A">
              <w:t>AG</w:t>
            </w:r>
          </w:p>
        </w:tc>
        <w:tc>
          <w:tcPr>
            <w:tcW w:w="870" w:type="dxa"/>
          </w:tcPr>
          <w:p w:rsidR="008526A4" w:rsidRPr="00AC519A" w:rsidRDefault="008526A4" w:rsidP="008526A4">
            <w:pPr>
              <w:jc w:val="center"/>
            </w:pPr>
            <w:r w:rsidRPr="00AC519A">
              <w:t>G</w:t>
            </w:r>
          </w:p>
        </w:tc>
        <w:tc>
          <w:tcPr>
            <w:tcW w:w="869" w:type="dxa"/>
          </w:tcPr>
          <w:p w:rsidR="008526A4" w:rsidRPr="00AC519A" w:rsidRDefault="008526A4" w:rsidP="008526A4">
            <w:pPr>
              <w:jc w:val="center"/>
            </w:pPr>
            <w:r w:rsidRPr="00AC519A">
              <w:t>G-I</w:t>
            </w:r>
          </w:p>
        </w:tc>
        <w:tc>
          <w:tcPr>
            <w:tcW w:w="869" w:type="dxa"/>
          </w:tcPr>
          <w:p w:rsidR="008526A4" w:rsidRPr="00AC519A" w:rsidRDefault="008526A4" w:rsidP="008526A4">
            <w:pPr>
              <w:jc w:val="center"/>
            </w:pPr>
            <w:r w:rsidRPr="00AC519A">
              <w:t>IF</w:t>
            </w:r>
          </w:p>
        </w:tc>
        <w:tc>
          <w:tcPr>
            <w:tcW w:w="869" w:type="dxa"/>
          </w:tcPr>
          <w:p w:rsidR="008526A4" w:rsidRPr="00AC519A" w:rsidRDefault="008526A4" w:rsidP="008526A4">
            <w:pPr>
              <w:jc w:val="center"/>
            </w:pPr>
            <w:r w:rsidRPr="00AC519A">
              <w:t>I</w:t>
            </w:r>
          </w:p>
        </w:tc>
        <w:tc>
          <w:tcPr>
            <w:tcW w:w="869" w:type="dxa"/>
          </w:tcPr>
          <w:p w:rsidR="008526A4" w:rsidRPr="00AC519A" w:rsidRDefault="008526A4" w:rsidP="008526A4">
            <w:pPr>
              <w:jc w:val="center"/>
            </w:pPr>
            <w:r w:rsidRPr="00AC519A">
              <w:t>AA</w:t>
            </w:r>
          </w:p>
        </w:tc>
        <w:tc>
          <w:tcPr>
            <w:tcW w:w="869" w:type="dxa"/>
          </w:tcPr>
          <w:p w:rsidR="008526A4" w:rsidRPr="00AC519A" w:rsidRDefault="008526A4" w:rsidP="008526A4">
            <w:pPr>
              <w:jc w:val="center"/>
            </w:pPr>
            <w:r w:rsidRPr="00AC519A">
              <w:t>PM</w:t>
            </w:r>
          </w:p>
        </w:tc>
        <w:tc>
          <w:tcPr>
            <w:tcW w:w="869" w:type="dxa"/>
          </w:tcPr>
          <w:p w:rsidR="008526A4" w:rsidRPr="00AC519A" w:rsidRDefault="008526A4" w:rsidP="008526A4">
            <w:pPr>
              <w:jc w:val="center"/>
            </w:pPr>
            <w:r w:rsidRPr="00AC519A">
              <w:t>B</w:t>
            </w:r>
          </w:p>
        </w:tc>
      </w:tr>
      <w:tr w:rsidR="008526A4" w:rsidTr="008526A4">
        <w:tc>
          <w:tcPr>
            <w:tcW w:w="709" w:type="dxa"/>
          </w:tcPr>
          <w:p w:rsidR="008526A4" w:rsidRPr="00AC519A" w:rsidRDefault="008526A4" w:rsidP="003A429D">
            <w:r w:rsidRPr="00AC519A">
              <w:t>AG</w:t>
            </w:r>
          </w:p>
        </w:tc>
        <w:tc>
          <w:tcPr>
            <w:tcW w:w="870" w:type="dxa"/>
          </w:tcPr>
          <w:p w:rsidR="008526A4" w:rsidRPr="00AC519A" w:rsidRDefault="008526A4" w:rsidP="008526A4">
            <w:pPr>
              <w:jc w:val="right"/>
            </w:pPr>
            <w:r w:rsidRPr="00AC519A">
              <w:t>0.00</w:t>
            </w:r>
          </w:p>
        </w:tc>
        <w:tc>
          <w:tcPr>
            <w:tcW w:w="870" w:type="dxa"/>
          </w:tcPr>
          <w:p w:rsidR="008526A4" w:rsidRPr="00AC519A" w:rsidRDefault="008526A4" w:rsidP="008526A4">
            <w:pPr>
              <w:jc w:val="right"/>
            </w:pPr>
            <w:r w:rsidRPr="00AC519A">
              <w:t>6.67</w:t>
            </w:r>
          </w:p>
        </w:tc>
        <w:tc>
          <w:tcPr>
            <w:tcW w:w="869" w:type="dxa"/>
          </w:tcPr>
          <w:p w:rsidR="008526A4" w:rsidRPr="00AC519A" w:rsidRDefault="008526A4" w:rsidP="008526A4">
            <w:pPr>
              <w:jc w:val="right"/>
            </w:pPr>
            <w:r w:rsidRPr="00AC519A">
              <w:t>4.00</w:t>
            </w:r>
          </w:p>
        </w:tc>
        <w:tc>
          <w:tcPr>
            <w:tcW w:w="869" w:type="dxa"/>
          </w:tcPr>
          <w:p w:rsidR="008526A4" w:rsidRPr="00AC519A" w:rsidRDefault="008526A4" w:rsidP="008526A4">
            <w:pPr>
              <w:jc w:val="right"/>
            </w:pPr>
            <w:r w:rsidRPr="00AC519A">
              <w:t>6.00</w:t>
            </w:r>
          </w:p>
        </w:tc>
        <w:tc>
          <w:tcPr>
            <w:tcW w:w="869" w:type="dxa"/>
          </w:tcPr>
          <w:p w:rsidR="008526A4" w:rsidRPr="00AC519A" w:rsidRDefault="008526A4" w:rsidP="008526A4">
            <w:pPr>
              <w:jc w:val="right"/>
            </w:pPr>
            <w:r w:rsidRPr="00AC519A">
              <w:t>4.00</w:t>
            </w:r>
          </w:p>
        </w:tc>
        <w:tc>
          <w:tcPr>
            <w:tcW w:w="869" w:type="dxa"/>
          </w:tcPr>
          <w:p w:rsidR="008526A4" w:rsidRPr="00AC519A" w:rsidRDefault="008526A4" w:rsidP="008526A4">
            <w:pPr>
              <w:jc w:val="right"/>
            </w:pPr>
            <w:r w:rsidRPr="00AC519A">
              <w:t>4.67</w:t>
            </w:r>
          </w:p>
        </w:tc>
        <w:tc>
          <w:tcPr>
            <w:tcW w:w="869" w:type="dxa"/>
          </w:tcPr>
          <w:p w:rsidR="008526A4" w:rsidRPr="00AC519A" w:rsidRDefault="008526A4" w:rsidP="008526A4">
            <w:pPr>
              <w:jc w:val="right"/>
            </w:pPr>
            <w:r w:rsidRPr="00AC519A">
              <w:t>2.67</w:t>
            </w:r>
          </w:p>
        </w:tc>
        <w:tc>
          <w:tcPr>
            <w:tcW w:w="869" w:type="dxa"/>
          </w:tcPr>
          <w:p w:rsidR="008526A4" w:rsidRPr="00AC519A" w:rsidRDefault="008526A4" w:rsidP="008526A4">
            <w:pPr>
              <w:jc w:val="right"/>
            </w:pPr>
            <w:r w:rsidRPr="00AC519A">
              <w:t>7.00</w:t>
            </w:r>
          </w:p>
        </w:tc>
      </w:tr>
      <w:tr w:rsidR="008526A4" w:rsidTr="008526A4">
        <w:tc>
          <w:tcPr>
            <w:tcW w:w="709" w:type="dxa"/>
          </w:tcPr>
          <w:p w:rsidR="008526A4" w:rsidRPr="00AC519A" w:rsidRDefault="008526A4" w:rsidP="003A429D">
            <w:r w:rsidRPr="00AC519A">
              <w:t>G</w:t>
            </w:r>
          </w:p>
        </w:tc>
        <w:tc>
          <w:tcPr>
            <w:tcW w:w="870" w:type="dxa"/>
          </w:tcPr>
          <w:p w:rsidR="008526A4" w:rsidRPr="00AC519A" w:rsidRDefault="008526A4" w:rsidP="008526A4">
            <w:pPr>
              <w:jc w:val="right"/>
            </w:pPr>
            <w:r w:rsidRPr="00AC519A">
              <w:t>6.67</w:t>
            </w:r>
          </w:p>
        </w:tc>
        <w:tc>
          <w:tcPr>
            <w:tcW w:w="870" w:type="dxa"/>
          </w:tcPr>
          <w:p w:rsidR="008526A4" w:rsidRPr="00AC519A" w:rsidRDefault="008526A4" w:rsidP="008526A4">
            <w:pPr>
              <w:jc w:val="right"/>
            </w:pPr>
            <w:r w:rsidRPr="00AC519A">
              <w:t>0.00</w:t>
            </w:r>
          </w:p>
        </w:tc>
        <w:tc>
          <w:tcPr>
            <w:tcW w:w="869" w:type="dxa"/>
          </w:tcPr>
          <w:p w:rsidR="008526A4" w:rsidRPr="00AC519A" w:rsidRDefault="008526A4" w:rsidP="008526A4">
            <w:pPr>
              <w:jc w:val="right"/>
            </w:pPr>
            <w:r w:rsidRPr="00AC519A">
              <w:t>2.67</w:t>
            </w:r>
          </w:p>
        </w:tc>
        <w:tc>
          <w:tcPr>
            <w:tcW w:w="869" w:type="dxa"/>
          </w:tcPr>
          <w:p w:rsidR="008526A4" w:rsidRPr="00AC519A" w:rsidRDefault="008526A4" w:rsidP="008526A4">
            <w:pPr>
              <w:jc w:val="right"/>
            </w:pPr>
            <w:r w:rsidRPr="00AC519A">
              <w:t>0.67</w:t>
            </w:r>
          </w:p>
        </w:tc>
        <w:tc>
          <w:tcPr>
            <w:tcW w:w="869" w:type="dxa"/>
          </w:tcPr>
          <w:p w:rsidR="008526A4" w:rsidRPr="008526A4" w:rsidRDefault="008526A4" w:rsidP="008526A4">
            <w:pPr>
              <w:jc w:val="right"/>
              <w:rPr>
                <w:color w:val="FF0000"/>
              </w:rPr>
            </w:pPr>
            <w:r w:rsidRPr="008526A4">
              <w:rPr>
                <w:color w:val="FF0000"/>
              </w:rPr>
              <w:t>10.67</w:t>
            </w:r>
          </w:p>
        </w:tc>
        <w:tc>
          <w:tcPr>
            <w:tcW w:w="869" w:type="dxa"/>
          </w:tcPr>
          <w:p w:rsidR="008526A4" w:rsidRPr="00AC519A" w:rsidRDefault="008526A4" w:rsidP="008526A4">
            <w:pPr>
              <w:jc w:val="right"/>
            </w:pPr>
            <w:r w:rsidRPr="00AC519A">
              <w:t>2.00</w:t>
            </w:r>
          </w:p>
        </w:tc>
        <w:tc>
          <w:tcPr>
            <w:tcW w:w="869" w:type="dxa"/>
          </w:tcPr>
          <w:p w:rsidR="008526A4" w:rsidRPr="00AC519A" w:rsidRDefault="008526A4" w:rsidP="008526A4">
            <w:pPr>
              <w:jc w:val="right"/>
            </w:pPr>
            <w:r w:rsidRPr="00AC519A">
              <w:t>4.00</w:t>
            </w:r>
          </w:p>
        </w:tc>
        <w:tc>
          <w:tcPr>
            <w:tcW w:w="869" w:type="dxa"/>
          </w:tcPr>
          <w:p w:rsidR="008526A4" w:rsidRPr="00AC519A" w:rsidRDefault="008526A4" w:rsidP="008526A4">
            <w:pPr>
              <w:jc w:val="right"/>
            </w:pPr>
            <w:r w:rsidRPr="00AC519A">
              <w:t>0.33</w:t>
            </w:r>
          </w:p>
        </w:tc>
      </w:tr>
      <w:tr w:rsidR="008526A4" w:rsidTr="008526A4">
        <w:tc>
          <w:tcPr>
            <w:tcW w:w="709" w:type="dxa"/>
          </w:tcPr>
          <w:p w:rsidR="008526A4" w:rsidRPr="00AC519A" w:rsidRDefault="008526A4" w:rsidP="003A429D">
            <w:r w:rsidRPr="00AC519A">
              <w:t>G-I</w:t>
            </w:r>
          </w:p>
        </w:tc>
        <w:tc>
          <w:tcPr>
            <w:tcW w:w="870" w:type="dxa"/>
          </w:tcPr>
          <w:p w:rsidR="008526A4" w:rsidRPr="00AC519A" w:rsidRDefault="008526A4" w:rsidP="008526A4">
            <w:pPr>
              <w:jc w:val="right"/>
            </w:pPr>
            <w:r w:rsidRPr="00AC519A">
              <w:t>4.00</w:t>
            </w:r>
          </w:p>
        </w:tc>
        <w:tc>
          <w:tcPr>
            <w:tcW w:w="870" w:type="dxa"/>
          </w:tcPr>
          <w:p w:rsidR="008526A4" w:rsidRPr="00AC519A" w:rsidRDefault="008526A4" w:rsidP="008526A4">
            <w:pPr>
              <w:jc w:val="right"/>
            </w:pPr>
            <w:r w:rsidRPr="00AC519A">
              <w:t>2.67</w:t>
            </w:r>
          </w:p>
        </w:tc>
        <w:tc>
          <w:tcPr>
            <w:tcW w:w="869" w:type="dxa"/>
          </w:tcPr>
          <w:p w:rsidR="008526A4" w:rsidRPr="00AC519A" w:rsidRDefault="008526A4" w:rsidP="008526A4">
            <w:pPr>
              <w:jc w:val="right"/>
            </w:pPr>
            <w:r w:rsidRPr="00AC519A">
              <w:t>0.00</w:t>
            </w:r>
          </w:p>
        </w:tc>
        <w:tc>
          <w:tcPr>
            <w:tcW w:w="869" w:type="dxa"/>
          </w:tcPr>
          <w:p w:rsidR="008526A4" w:rsidRPr="00AC519A" w:rsidRDefault="008526A4" w:rsidP="008526A4">
            <w:pPr>
              <w:jc w:val="right"/>
            </w:pPr>
            <w:r w:rsidRPr="00AC519A">
              <w:t>2.00</w:t>
            </w:r>
          </w:p>
        </w:tc>
        <w:tc>
          <w:tcPr>
            <w:tcW w:w="869" w:type="dxa"/>
          </w:tcPr>
          <w:p w:rsidR="008526A4" w:rsidRPr="00AC519A" w:rsidRDefault="008526A4" w:rsidP="008526A4">
            <w:pPr>
              <w:jc w:val="right"/>
            </w:pPr>
            <w:r w:rsidRPr="00AC519A">
              <w:t>8.00</w:t>
            </w:r>
          </w:p>
        </w:tc>
        <w:tc>
          <w:tcPr>
            <w:tcW w:w="869" w:type="dxa"/>
          </w:tcPr>
          <w:p w:rsidR="008526A4" w:rsidRPr="00AC519A" w:rsidRDefault="008526A4" w:rsidP="008526A4">
            <w:pPr>
              <w:jc w:val="right"/>
            </w:pPr>
            <w:r w:rsidRPr="00AC519A">
              <w:t>0.67</w:t>
            </w:r>
          </w:p>
        </w:tc>
        <w:tc>
          <w:tcPr>
            <w:tcW w:w="869" w:type="dxa"/>
          </w:tcPr>
          <w:p w:rsidR="008526A4" w:rsidRPr="00AC519A" w:rsidRDefault="008526A4" w:rsidP="008526A4">
            <w:pPr>
              <w:jc w:val="right"/>
            </w:pPr>
            <w:r w:rsidRPr="00AC519A">
              <w:t>1.33</w:t>
            </w:r>
          </w:p>
        </w:tc>
        <w:tc>
          <w:tcPr>
            <w:tcW w:w="869" w:type="dxa"/>
          </w:tcPr>
          <w:p w:rsidR="008526A4" w:rsidRPr="00AC519A" w:rsidRDefault="008526A4" w:rsidP="008526A4">
            <w:pPr>
              <w:jc w:val="right"/>
            </w:pPr>
            <w:r w:rsidRPr="00AC519A">
              <w:t>3.00</w:t>
            </w:r>
          </w:p>
        </w:tc>
      </w:tr>
      <w:tr w:rsidR="008526A4" w:rsidTr="008526A4">
        <w:tc>
          <w:tcPr>
            <w:tcW w:w="709" w:type="dxa"/>
          </w:tcPr>
          <w:p w:rsidR="008526A4" w:rsidRPr="00AC519A" w:rsidRDefault="008526A4" w:rsidP="003A429D">
            <w:r w:rsidRPr="00AC519A">
              <w:t>IF</w:t>
            </w:r>
          </w:p>
        </w:tc>
        <w:tc>
          <w:tcPr>
            <w:tcW w:w="870" w:type="dxa"/>
          </w:tcPr>
          <w:p w:rsidR="008526A4" w:rsidRPr="00AC519A" w:rsidRDefault="008526A4" w:rsidP="008526A4">
            <w:pPr>
              <w:jc w:val="right"/>
            </w:pPr>
            <w:r w:rsidRPr="00AC519A">
              <w:t>6.00</w:t>
            </w:r>
          </w:p>
        </w:tc>
        <w:tc>
          <w:tcPr>
            <w:tcW w:w="870" w:type="dxa"/>
          </w:tcPr>
          <w:p w:rsidR="008526A4" w:rsidRPr="00AC519A" w:rsidRDefault="008526A4" w:rsidP="008526A4">
            <w:pPr>
              <w:jc w:val="right"/>
            </w:pPr>
            <w:r w:rsidRPr="00AC519A">
              <w:t>0.67</w:t>
            </w:r>
          </w:p>
        </w:tc>
        <w:tc>
          <w:tcPr>
            <w:tcW w:w="869" w:type="dxa"/>
          </w:tcPr>
          <w:p w:rsidR="008526A4" w:rsidRPr="00AC519A" w:rsidRDefault="008526A4" w:rsidP="008526A4">
            <w:pPr>
              <w:jc w:val="right"/>
            </w:pPr>
            <w:r w:rsidRPr="00AC519A">
              <w:t>2.00</w:t>
            </w:r>
          </w:p>
        </w:tc>
        <w:tc>
          <w:tcPr>
            <w:tcW w:w="869" w:type="dxa"/>
          </w:tcPr>
          <w:p w:rsidR="008526A4" w:rsidRPr="00AC519A" w:rsidRDefault="008526A4" w:rsidP="008526A4">
            <w:pPr>
              <w:jc w:val="right"/>
            </w:pPr>
            <w:r w:rsidRPr="00AC519A">
              <w:t>0.00</w:t>
            </w:r>
          </w:p>
        </w:tc>
        <w:tc>
          <w:tcPr>
            <w:tcW w:w="869" w:type="dxa"/>
          </w:tcPr>
          <w:p w:rsidR="008526A4" w:rsidRPr="008526A4" w:rsidRDefault="008526A4" w:rsidP="008526A4">
            <w:pPr>
              <w:jc w:val="right"/>
              <w:rPr>
                <w:color w:val="FF0000"/>
              </w:rPr>
            </w:pPr>
            <w:r w:rsidRPr="008526A4">
              <w:rPr>
                <w:color w:val="FF0000"/>
              </w:rPr>
              <w:t>10.00</w:t>
            </w:r>
          </w:p>
        </w:tc>
        <w:tc>
          <w:tcPr>
            <w:tcW w:w="869" w:type="dxa"/>
          </w:tcPr>
          <w:p w:rsidR="008526A4" w:rsidRPr="00AC519A" w:rsidRDefault="008526A4" w:rsidP="008526A4">
            <w:pPr>
              <w:jc w:val="right"/>
            </w:pPr>
            <w:r w:rsidRPr="00AC519A">
              <w:t>1.33</w:t>
            </w:r>
          </w:p>
        </w:tc>
        <w:tc>
          <w:tcPr>
            <w:tcW w:w="869" w:type="dxa"/>
          </w:tcPr>
          <w:p w:rsidR="008526A4" w:rsidRPr="00AC519A" w:rsidRDefault="008526A4" w:rsidP="008526A4">
            <w:pPr>
              <w:jc w:val="right"/>
            </w:pPr>
            <w:r w:rsidRPr="00AC519A">
              <w:t>3.33</w:t>
            </w:r>
          </w:p>
        </w:tc>
        <w:tc>
          <w:tcPr>
            <w:tcW w:w="869" w:type="dxa"/>
          </w:tcPr>
          <w:p w:rsidR="008526A4" w:rsidRPr="00AC519A" w:rsidRDefault="008526A4" w:rsidP="008526A4">
            <w:pPr>
              <w:jc w:val="right"/>
            </w:pPr>
            <w:r w:rsidRPr="00AC519A">
              <w:t>1.00</w:t>
            </w:r>
          </w:p>
        </w:tc>
      </w:tr>
      <w:tr w:rsidR="008526A4" w:rsidTr="008526A4">
        <w:tc>
          <w:tcPr>
            <w:tcW w:w="709" w:type="dxa"/>
          </w:tcPr>
          <w:p w:rsidR="008526A4" w:rsidRPr="00AC519A" w:rsidRDefault="008526A4" w:rsidP="003A429D">
            <w:r w:rsidRPr="00AC519A">
              <w:t>I</w:t>
            </w:r>
          </w:p>
        </w:tc>
        <w:tc>
          <w:tcPr>
            <w:tcW w:w="870" w:type="dxa"/>
          </w:tcPr>
          <w:p w:rsidR="008526A4" w:rsidRPr="00AC519A" w:rsidRDefault="008526A4" w:rsidP="008526A4">
            <w:pPr>
              <w:jc w:val="right"/>
            </w:pPr>
            <w:r w:rsidRPr="00AC519A">
              <w:t>4.00</w:t>
            </w:r>
          </w:p>
        </w:tc>
        <w:tc>
          <w:tcPr>
            <w:tcW w:w="870" w:type="dxa"/>
          </w:tcPr>
          <w:p w:rsidR="008526A4" w:rsidRPr="008526A4" w:rsidRDefault="008526A4" w:rsidP="008526A4">
            <w:pPr>
              <w:jc w:val="right"/>
              <w:rPr>
                <w:color w:val="FF0000"/>
              </w:rPr>
            </w:pPr>
            <w:r w:rsidRPr="008526A4">
              <w:rPr>
                <w:color w:val="FF0000"/>
              </w:rPr>
              <w:t>10.67</w:t>
            </w:r>
          </w:p>
        </w:tc>
        <w:tc>
          <w:tcPr>
            <w:tcW w:w="869" w:type="dxa"/>
          </w:tcPr>
          <w:p w:rsidR="008526A4" w:rsidRPr="00AC519A" w:rsidRDefault="008526A4" w:rsidP="008526A4">
            <w:pPr>
              <w:jc w:val="right"/>
            </w:pPr>
            <w:r w:rsidRPr="00AC519A">
              <w:t>8.00</w:t>
            </w:r>
          </w:p>
        </w:tc>
        <w:tc>
          <w:tcPr>
            <w:tcW w:w="869" w:type="dxa"/>
          </w:tcPr>
          <w:p w:rsidR="008526A4" w:rsidRPr="008526A4" w:rsidRDefault="008526A4" w:rsidP="008526A4">
            <w:pPr>
              <w:jc w:val="right"/>
              <w:rPr>
                <w:color w:val="FF0000"/>
              </w:rPr>
            </w:pPr>
            <w:r w:rsidRPr="008526A4">
              <w:rPr>
                <w:color w:val="FF0000"/>
              </w:rPr>
              <w:t>10.00</w:t>
            </w:r>
          </w:p>
        </w:tc>
        <w:tc>
          <w:tcPr>
            <w:tcW w:w="869" w:type="dxa"/>
          </w:tcPr>
          <w:p w:rsidR="008526A4" w:rsidRPr="00AC519A" w:rsidRDefault="008526A4" w:rsidP="008526A4">
            <w:pPr>
              <w:jc w:val="right"/>
            </w:pPr>
            <w:r w:rsidRPr="00AC519A">
              <w:t>0.00</w:t>
            </w:r>
          </w:p>
        </w:tc>
        <w:tc>
          <w:tcPr>
            <w:tcW w:w="869" w:type="dxa"/>
          </w:tcPr>
          <w:p w:rsidR="008526A4" w:rsidRPr="00AC519A" w:rsidRDefault="008526A4" w:rsidP="008526A4">
            <w:pPr>
              <w:jc w:val="right"/>
            </w:pPr>
            <w:r w:rsidRPr="00AC519A">
              <w:t>8.67</w:t>
            </w:r>
          </w:p>
        </w:tc>
        <w:tc>
          <w:tcPr>
            <w:tcW w:w="869" w:type="dxa"/>
          </w:tcPr>
          <w:p w:rsidR="008526A4" w:rsidRPr="00AC519A" w:rsidRDefault="008526A4" w:rsidP="008526A4">
            <w:pPr>
              <w:jc w:val="right"/>
            </w:pPr>
            <w:r w:rsidRPr="00AC519A">
              <w:t>6.67</w:t>
            </w:r>
          </w:p>
        </w:tc>
        <w:tc>
          <w:tcPr>
            <w:tcW w:w="869" w:type="dxa"/>
          </w:tcPr>
          <w:p w:rsidR="008526A4" w:rsidRPr="008526A4" w:rsidRDefault="008526A4" w:rsidP="008526A4">
            <w:pPr>
              <w:jc w:val="right"/>
              <w:rPr>
                <w:color w:val="FF0000"/>
              </w:rPr>
            </w:pPr>
            <w:r w:rsidRPr="008526A4">
              <w:rPr>
                <w:color w:val="FF0000"/>
              </w:rPr>
              <w:t>11.00</w:t>
            </w:r>
          </w:p>
        </w:tc>
      </w:tr>
      <w:tr w:rsidR="008526A4" w:rsidTr="008526A4">
        <w:tc>
          <w:tcPr>
            <w:tcW w:w="709" w:type="dxa"/>
          </w:tcPr>
          <w:p w:rsidR="008526A4" w:rsidRPr="00AC519A" w:rsidRDefault="008526A4" w:rsidP="003A429D">
            <w:r w:rsidRPr="00AC519A">
              <w:t>AA</w:t>
            </w:r>
          </w:p>
        </w:tc>
        <w:tc>
          <w:tcPr>
            <w:tcW w:w="870" w:type="dxa"/>
          </w:tcPr>
          <w:p w:rsidR="008526A4" w:rsidRPr="00AC519A" w:rsidRDefault="008526A4" w:rsidP="008526A4">
            <w:pPr>
              <w:jc w:val="right"/>
            </w:pPr>
            <w:r w:rsidRPr="00AC519A">
              <w:t>4.67</w:t>
            </w:r>
          </w:p>
        </w:tc>
        <w:tc>
          <w:tcPr>
            <w:tcW w:w="870" w:type="dxa"/>
          </w:tcPr>
          <w:p w:rsidR="008526A4" w:rsidRPr="00AC519A" w:rsidRDefault="008526A4" w:rsidP="008526A4">
            <w:pPr>
              <w:jc w:val="right"/>
            </w:pPr>
            <w:r w:rsidRPr="00AC519A">
              <w:t>2.00</w:t>
            </w:r>
          </w:p>
        </w:tc>
        <w:tc>
          <w:tcPr>
            <w:tcW w:w="869" w:type="dxa"/>
          </w:tcPr>
          <w:p w:rsidR="008526A4" w:rsidRPr="00AC519A" w:rsidRDefault="008526A4" w:rsidP="008526A4">
            <w:pPr>
              <w:jc w:val="right"/>
            </w:pPr>
            <w:r w:rsidRPr="00AC519A">
              <w:t>0.67</w:t>
            </w:r>
          </w:p>
        </w:tc>
        <w:tc>
          <w:tcPr>
            <w:tcW w:w="869" w:type="dxa"/>
          </w:tcPr>
          <w:p w:rsidR="008526A4" w:rsidRPr="00AC519A" w:rsidRDefault="008526A4" w:rsidP="008526A4">
            <w:pPr>
              <w:jc w:val="right"/>
            </w:pPr>
            <w:r w:rsidRPr="00AC519A">
              <w:t>1.33</w:t>
            </w:r>
          </w:p>
        </w:tc>
        <w:tc>
          <w:tcPr>
            <w:tcW w:w="869" w:type="dxa"/>
          </w:tcPr>
          <w:p w:rsidR="008526A4" w:rsidRPr="00AC519A" w:rsidRDefault="008526A4" w:rsidP="008526A4">
            <w:pPr>
              <w:jc w:val="right"/>
            </w:pPr>
            <w:r w:rsidRPr="00AC519A">
              <w:t>8.67</w:t>
            </w:r>
          </w:p>
        </w:tc>
        <w:tc>
          <w:tcPr>
            <w:tcW w:w="869" w:type="dxa"/>
          </w:tcPr>
          <w:p w:rsidR="008526A4" w:rsidRPr="00AC519A" w:rsidRDefault="008526A4" w:rsidP="008526A4">
            <w:pPr>
              <w:jc w:val="right"/>
            </w:pPr>
            <w:r w:rsidRPr="00AC519A">
              <w:t>0.00</w:t>
            </w:r>
          </w:p>
        </w:tc>
        <w:tc>
          <w:tcPr>
            <w:tcW w:w="869" w:type="dxa"/>
          </w:tcPr>
          <w:p w:rsidR="008526A4" w:rsidRPr="00AC519A" w:rsidRDefault="008526A4" w:rsidP="008526A4">
            <w:pPr>
              <w:jc w:val="right"/>
            </w:pPr>
            <w:r w:rsidRPr="00AC519A">
              <w:t>2.00</w:t>
            </w:r>
          </w:p>
        </w:tc>
        <w:tc>
          <w:tcPr>
            <w:tcW w:w="869" w:type="dxa"/>
          </w:tcPr>
          <w:p w:rsidR="008526A4" w:rsidRPr="00AC519A" w:rsidRDefault="008526A4" w:rsidP="008526A4">
            <w:pPr>
              <w:jc w:val="right"/>
            </w:pPr>
            <w:r w:rsidRPr="00AC519A">
              <w:t>2.33</w:t>
            </w:r>
          </w:p>
        </w:tc>
      </w:tr>
      <w:tr w:rsidR="008526A4" w:rsidTr="008526A4">
        <w:tc>
          <w:tcPr>
            <w:tcW w:w="709" w:type="dxa"/>
          </w:tcPr>
          <w:p w:rsidR="008526A4" w:rsidRPr="00AC519A" w:rsidRDefault="008526A4" w:rsidP="003A429D">
            <w:r w:rsidRPr="00AC519A">
              <w:t>PM</w:t>
            </w:r>
          </w:p>
        </w:tc>
        <w:tc>
          <w:tcPr>
            <w:tcW w:w="870" w:type="dxa"/>
          </w:tcPr>
          <w:p w:rsidR="008526A4" w:rsidRPr="00AC519A" w:rsidRDefault="008526A4" w:rsidP="008526A4">
            <w:pPr>
              <w:jc w:val="right"/>
            </w:pPr>
            <w:r w:rsidRPr="00AC519A">
              <w:t>2.67</w:t>
            </w:r>
          </w:p>
        </w:tc>
        <w:tc>
          <w:tcPr>
            <w:tcW w:w="870" w:type="dxa"/>
          </w:tcPr>
          <w:p w:rsidR="008526A4" w:rsidRPr="00AC519A" w:rsidRDefault="008526A4" w:rsidP="008526A4">
            <w:pPr>
              <w:jc w:val="right"/>
            </w:pPr>
            <w:r w:rsidRPr="00AC519A">
              <w:t>4.00</w:t>
            </w:r>
          </w:p>
        </w:tc>
        <w:tc>
          <w:tcPr>
            <w:tcW w:w="869" w:type="dxa"/>
          </w:tcPr>
          <w:p w:rsidR="008526A4" w:rsidRPr="00AC519A" w:rsidRDefault="008526A4" w:rsidP="008526A4">
            <w:pPr>
              <w:jc w:val="right"/>
            </w:pPr>
            <w:r w:rsidRPr="00AC519A">
              <w:t>1.33</w:t>
            </w:r>
          </w:p>
        </w:tc>
        <w:tc>
          <w:tcPr>
            <w:tcW w:w="869" w:type="dxa"/>
          </w:tcPr>
          <w:p w:rsidR="008526A4" w:rsidRPr="00AC519A" w:rsidRDefault="008526A4" w:rsidP="008526A4">
            <w:pPr>
              <w:jc w:val="right"/>
            </w:pPr>
            <w:r w:rsidRPr="00AC519A">
              <w:t>3.33</w:t>
            </w:r>
          </w:p>
        </w:tc>
        <w:tc>
          <w:tcPr>
            <w:tcW w:w="869" w:type="dxa"/>
          </w:tcPr>
          <w:p w:rsidR="008526A4" w:rsidRPr="00AC519A" w:rsidRDefault="008526A4" w:rsidP="008526A4">
            <w:pPr>
              <w:jc w:val="right"/>
            </w:pPr>
            <w:r w:rsidRPr="00AC519A">
              <w:t>6.67</w:t>
            </w:r>
          </w:p>
        </w:tc>
        <w:tc>
          <w:tcPr>
            <w:tcW w:w="869" w:type="dxa"/>
          </w:tcPr>
          <w:p w:rsidR="008526A4" w:rsidRPr="00AC519A" w:rsidRDefault="008526A4" w:rsidP="008526A4">
            <w:pPr>
              <w:jc w:val="right"/>
            </w:pPr>
            <w:r w:rsidRPr="00AC519A">
              <w:t>2.00</w:t>
            </w:r>
          </w:p>
        </w:tc>
        <w:tc>
          <w:tcPr>
            <w:tcW w:w="869" w:type="dxa"/>
          </w:tcPr>
          <w:p w:rsidR="008526A4" w:rsidRPr="00AC519A" w:rsidRDefault="008526A4" w:rsidP="008526A4">
            <w:pPr>
              <w:jc w:val="right"/>
            </w:pPr>
            <w:r w:rsidRPr="00AC519A">
              <w:t>0.00</w:t>
            </w:r>
          </w:p>
        </w:tc>
        <w:tc>
          <w:tcPr>
            <w:tcW w:w="869" w:type="dxa"/>
          </w:tcPr>
          <w:p w:rsidR="008526A4" w:rsidRPr="00AC519A" w:rsidRDefault="008526A4" w:rsidP="008526A4">
            <w:pPr>
              <w:jc w:val="right"/>
            </w:pPr>
            <w:r w:rsidRPr="00AC519A">
              <w:t>4.33</w:t>
            </w:r>
          </w:p>
        </w:tc>
      </w:tr>
      <w:tr w:rsidR="008526A4" w:rsidTr="008526A4">
        <w:tc>
          <w:tcPr>
            <w:tcW w:w="709" w:type="dxa"/>
          </w:tcPr>
          <w:p w:rsidR="008526A4" w:rsidRPr="00AC519A" w:rsidRDefault="008526A4" w:rsidP="003A429D">
            <w:r w:rsidRPr="00AC519A">
              <w:t>B</w:t>
            </w:r>
          </w:p>
        </w:tc>
        <w:tc>
          <w:tcPr>
            <w:tcW w:w="870" w:type="dxa"/>
          </w:tcPr>
          <w:p w:rsidR="008526A4" w:rsidRPr="00AC519A" w:rsidRDefault="008526A4" w:rsidP="008526A4">
            <w:pPr>
              <w:jc w:val="right"/>
            </w:pPr>
            <w:r w:rsidRPr="00AC519A">
              <w:t>7.00</w:t>
            </w:r>
          </w:p>
        </w:tc>
        <w:tc>
          <w:tcPr>
            <w:tcW w:w="870" w:type="dxa"/>
          </w:tcPr>
          <w:p w:rsidR="008526A4" w:rsidRPr="00AC519A" w:rsidRDefault="008526A4" w:rsidP="008526A4">
            <w:pPr>
              <w:jc w:val="right"/>
            </w:pPr>
            <w:r w:rsidRPr="00AC519A">
              <w:t>0.33</w:t>
            </w:r>
          </w:p>
        </w:tc>
        <w:tc>
          <w:tcPr>
            <w:tcW w:w="869" w:type="dxa"/>
          </w:tcPr>
          <w:p w:rsidR="008526A4" w:rsidRPr="00AC519A" w:rsidRDefault="008526A4" w:rsidP="008526A4">
            <w:pPr>
              <w:jc w:val="right"/>
            </w:pPr>
            <w:r w:rsidRPr="00AC519A">
              <w:t>3.00</w:t>
            </w:r>
          </w:p>
        </w:tc>
        <w:tc>
          <w:tcPr>
            <w:tcW w:w="869" w:type="dxa"/>
          </w:tcPr>
          <w:p w:rsidR="008526A4" w:rsidRPr="00AC519A" w:rsidRDefault="008526A4" w:rsidP="008526A4">
            <w:pPr>
              <w:jc w:val="right"/>
            </w:pPr>
            <w:r w:rsidRPr="00AC519A">
              <w:t>1.00</w:t>
            </w:r>
          </w:p>
        </w:tc>
        <w:tc>
          <w:tcPr>
            <w:tcW w:w="869" w:type="dxa"/>
          </w:tcPr>
          <w:p w:rsidR="008526A4" w:rsidRPr="008526A4" w:rsidRDefault="008526A4" w:rsidP="008526A4">
            <w:pPr>
              <w:jc w:val="right"/>
              <w:rPr>
                <w:color w:val="FF0000"/>
              </w:rPr>
            </w:pPr>
            <w:r w:rsidRPr="008526A4">
              <w:rPr>
                <w:color w:val="FF0000"/>
              </w:rPr>
              <w:t>11.00</w:t>
            </w:r>
          </w:p>
        </w:tc>
        <w:tc>
          <w:tcPr>
            <w:tcW w:w="869" w:type="dxa"/>
          </w:tcPr>
          <w:p w:rsidR="008526A4" w:rsidRPr="00AC519A" w:rsidRDefault="008526A4" w:rsidP="008526A4">
            <w:pPr>
              <w:jc w:val="right"/>
            </w:pPr>
            <w:r w:rsidRPr="00AC519A">
              <w:t>2.33</w:t>
            </w:r>
          </w:p>
        </w:tc>
        <w:tc>
          <w:tcPr>
            <w:tcW w:w="869" w:type="dxa"/>
          </w:tcPr>
          <w:p w:rsidR="008526A4" w:rsidRPr="00AC519A" w:rsidRDefault="008526A4" w:rsidP="008526A4">
            <w:pPr>
              <w:jc w:val="right"/>
            </w:pPr>
            <w:r w:rsidRPr="00AC519A">
              <w:t>4.33</w:t>
            </w:r>
          </w:p>
        </w:tc>
        <w:tc>
          <w:tcPr>
            <w:tcW w:w="869" w:type="dxa"/>
          </w:tcPr>
          <w:p w:rsidR="008526A4" w:rsidRDefault="008526A4" w:rsidP="008526A4">
            <w:pPr>
              <w:jc w:val="right"/>
            </w:pPr>
            <w:r w:rsidRPr="00AC519A">
              <w:t>0.00</w:t>
            </w:r>
          </w:p>
        </w:tc>
      </w:tr>
    </w:tbl>
    <w:p w:rsidR="008526A4" w:rsidRDefault="008526A4" w:rsidP="008526A4">
      <w:pPr>
        <w:ind w:left="1418" w:hanging="567"/>
      </w:pPr>
    </w:p>
    <w:p w:rsidR="002679CF" w:rsidRDefault="008526A4" w:rsidP="008526A4">
      <w:pPr>
        <w:ind w:left="1418" w:hanging="567"/>
      </w:pPr>
      <w:r>
        <w:tab/>
        <w:t xml:space="preserve">It is clear that the pairs of MF types with significantly different mean percentage gains are: </w:t>
      </w:r>
    </w:p>
    <w:p w:rsidR="002679CF" w:rsidRDefault="002679CF" w:rsidP="002679CF">
      <w:pPr>
        <w:pStyle w:val="ListParagraph"/>
        <w:numPr>
          <w:ilvl w:val="0"/>
          <w:numId w:val="1"/>
        </w:numPr>
      </w:pPr>
      <w:r>
        <w:t xml:space="preserve">Types G and I, </w:t>
      </w:r>
    </w:p>
    <w:p w:rsidR="002679CF" w:rsidRDefault="002679CF" w:rsidP="002679CF">
      <w:pPr>
        <w:pStyle w:val="ListParagraph"/>
        <w:numPr>
          <w:ilvl w:val="0"/>
          <w:numId w:val="1"/>
        </w:numPr>
      </w:pPr>
      <w:r>
        <w:t xml:space="preserve">Types IF and I, </w:t>
      </w:r>
    </w:p>
    <w:p w:rsidR="008526A4" w:rsidRDefault="002679CF" w:rsidP="002679CF">
      <w:pPr>
        <w:pStyle w:val="ListParagraph"/>
        <w:numPr>
          <w:ilvl w:val="0"/>
          <w:numId w:val="1"/>
        </w:numPr>
      </w:pPr>
      <w:r>
        <w:t xml:space="preserve">Types </w:t>
      </w:r>
      <w:proofErr w:type="gramStart"/>
      <w:r>
        <w:t>I</w:t>
      </w:r>
      <w:proofErr w:type="gramEnd"/>
      <w:r>
        <w:t xml:space="preserve"> and B.</w:t>
      </w:r>
    </w:p>
    <w:p w:rsidR="009A081A" w:rsidRDefault="002679CF" w:rsidP="002679CF">
      <w:pPr>
        <w:ind w:left="1421"/>
      </w:pPr>
      <w:r>
        <w:t xml:space="preserve">Mutual Fund Type I </w:t>
      </w:r>
      <w:proofErr w:type="gramStart"/>
      <w:r>
        <w:t>has</w:t>
      </w:r>
      <w:proofErr w:type="gramEnd"/>
      <w:r>
        <w:t xml:space="preserve"> the highest mean percentage gain.</w:t>
      </w:r>
      <w:r w:rsidR="009A081A">
        <w:br w:type="page"/>
      </w:r>
    </w:p>
    <w:p w:rsidR="009A081A" w:rsidRDefault="009A081A">
      <w:r>
        <w:lastRenderedPageBreak/>
        <w:t>3.</w:t>
      </w:r>
      <w:r>
        <w:tab/>
      </w:r>
      <w:r w:rsidR="002B4347">
        <w:t>(</w:t>
      </w:r>
      <w:proofErr w:type="gramStart"/>
      <w:r w:rsidR="002B4347">
        <w:t>a</w:t>
      </w:r>
      <w:proofErr w:type="gramEnd"/>
      <w:r w:rsidR="002B4347">
        <w:t>)</w:t>
      </w:r>
      <w:r w:rsidR="002B4347">
        <w:tab/>
        <w:t xml:space="preserve">The least squares </w:t>
      </w:r>
      <w:r w:rsidR="006F5546">
        <w:t xml:space="preserve">fitted </w:t>
      </w:r>
      <w:r w:rsidR="002B4347">
        <w:t>regression equation is</w:t>
      </w:r>
    </w:p>
    <w:p w:rsidR="002B4347" w:rsidRDefault="002B4347">
      <w:r>
        <w:tab/>
      </w:r>
      <w:r>
        <w:tab/>
        <w:t>y = 5.3730 + 0.94659x.</w:t>
      </w:r>
    </w:p>
    <w:p w:rsidR="002B4347" w:rsidRDefault="002B4347">
      <w:r>
        <w:tab/>
        <w:t>(b)</w:t>
      </w:r>
      <w:r>
        <w:tab/>
        <w:t>The expected actual account balance is 5.3730 + 0.94659</w:t>
      </w:r>
      <w:r w:rsidR="008158E0">
        <w:t>(</w:t>
      </w:r>
      <w:r>
        <w:t>100</w:t>
      </w:r>
      <w:r w:rsidR="008158E0">
        <w:t>)</w:t>
      </w:r>
      <w:r>
        <w:t xml:space="preserve"> = 100.032.</w:t>
      </w:r>
    </w:p>
    <w:p w:rsidR="00B47E22" w:rsidRDefault="00B47E22">
      <w:r>
        <w:tab/>
        <w:t>(c)</w:t>
      </w:r>
      <w:r>
        <w:tab/>
        <w:t>90% point of normal distribution = 1.282.</w:t>
      </w:r>
    </w:p>
    <w:p w:rsidR="00B47E22" w:rsidRDefault="00B47E22">
      <w:r>
        <w:tab/>
      </w:r>
      <w:r>
        <w:tab/>
        <w:t>Variance of the prediction error for Mr. Jones's actual account balance = 8.33188.</w:t>
      </w:r>
    </w:p>
    <w:p w:rsidR="00B47E22" w:rsidRDefault="00B47E22">
      <w:pPr>
        <w:rPr>
          <w:rFonts w:eastAsiaTheme="minorEastAsia"/>
        </w:rPr>
      </w:pPr>
      <w:r>
        <w:tab/>
      </w:r>
      <w:r>
        <w:tab/>
        <w:t xml:space="preserve">Half-width of 90% prediction interval = </w:t>
      </w:r>
      <m:oMath>
        <m:r>
          <w:rPr>
            <w:rFonts w:ascii="Cambria Math" w:hAnsi="Cambria Math"/>
          </w:rPr>
          <m:t>1.282×</m:t>
        </m:r>
        <m:rad>
          <m:radPr>
            <m:degHide m:val="on"/>
            <m:ctrlPr>
              <w:rPr>
                <w:rFonts w:ascii="Cambria Math" w:hAnsi="Cambria Math"/>
                <w:i/>
              </w:rPr>
            </m:ctrlPr>
          </m:radPr>
          <m:deg/>
          <m:e>
            <m:r>
              <w:rPr>
                <w:rFonts w:ascii="Cambria Math" w:hAnsi="Cambria Math"/>
              </w:rPr>
              <m:t>8.33188</m:t>
            </m:r>
          </m:e>
        </m:rad>
      </m:oMath>
      <w:r>
        <w:rPr>
          <w:rFonts w:eastAsiaTheme="minorEastAsia"/>
        </w:rPr>
        <w:t xml:space="preserve"> = 3.699.</w:t>
      </w:r>
    </w:p>
    <w:p w:rsidR="00B47E22" w:rsidRDefault="00B47E22">
      <w:pPr>
        <w:rPr>
          <w:rFonts w:ascii="Calibri" w:hAnsi="Calibri" w:cs="Calibri"/>
          <w:color w:val="000000"/>
        </w:rPr>
      </w:pPr>
      <w:r>
        <w:rPr>
          <w:rFonts w:eastAsiaTheme="minorEastAsia"/>
        </w:rPr>
        <w:tab/>
      </w:r>
      <w:r>
        <w:rPr>
          <w:rFonts w:eastAsiaTheme="minorEastAsia"/>
        </w:rPr>
        <w:tab/>
        <w:t xml:space="preserve">Hence, </w:t>
      </w:r>
      <w:r w:rsidRPr="00AD1300">
        <w:rPr>
          <w:rFonts w:ascii="Calibri" w:hAnsi="Calibri" w:cs="Calibri"/>
          <w:color w:val="000000"/>
        </w:rPr>
        <w:t>a 90% interval estimate for Mr. Jones’s actual account balance</w:t>
      </w:r>
      <w:r>
        <w:rPr>
          <w:rFonts w:ascii="Calibri" w:hAnsi="Calibri" w:cs="Calibri"/>
          <w:color w:val="000000"/>
        </w:rPr>
        <w:t xml:space="preserve"> is</w:t>
      </w:r>
    </w:p>
    <w:p w:rsidR="00B47E22" w:rsidRDefault="00B47E22">
      <w:pPr>
        <w:rPr>
          <w:rFonts w:ascii="Calibri" w:eastAsiaTheme="minorEastAsia" w:hAnsi="Calibri" w:cs="Calibri"/>
          <w:color w:val="000000"/>
        </w:rPr>
      </w:pPr>
      <w:r>
        <w:rPr>
          <w:rFonts w:ascii="Calibri" w:hAnsi="Calibri" w:cs="Calibri"/>
          <w:color w:val="000000"/>
        </w:rPr>
        <w:tab/>
      </w:r>
      <w:r>
        <w:rPr>
          <w:rFonts w:ascii="Calibri" w:hAnsi="Calibri" w:cs="Calibri"/>
          <w:color w:val="000000"/>
        </w:rPr>
        <w:tab/>
      </w:r>
      <m:oMath>
        <m:r>
          <w:rPr>
            <w:rFonts w:ascii="Cambria Math" w:hAnsi="Cambria Math" w:cs="Calibri"/>
            <w:color w:val="000000"/>
          </w:rPr>
          <m:t>100.032±3.699</m:t>
        </m:r>
      </m:oMath>
      <w:r>
        <w:rPr>
          <w:rFonts w:ascii="Calibri" w:eastAsiaTheme="minorEastAsia" w:hAnsi="Calibri" w:cs="Calibri"/>
          <w:color w:val="000000"/>
        </w:rPr>
        <w:t xml:space="preserve"> = (96.333, 103.731).</w:t>
      </w:r>
    </w:p>
    <w:p w:rsidR="00B47E22" w:rsidRDefault="00B47E22" w:rsidP="00B47E22">
      <w:r>
        <w:tab/>
        <w:t>(d)</w:t>
      </w:r>
      <w:r>
        <w:tab/>
        <w:t>90% point of normal distribution = 1.282.</w:t>
      </w:r>
    </w:p>
    <w:p w:rsidR="00B47E22" w:rsidRDefault="00B47E22" w:rsidP="00B47E22">
      <w:r>
        <w:tab/>
      </w:r>
      <w:r>
        <w:tab/>
      </w:r>
      <w:proofErr w:type="gramStart"/>
      <w:r>
        <w:t xml:space="preserve">Variance of the </w:t>
      </w:r>
      <w:r w:rsidR="00941854">
        <w:t>estima</w:t>
      </w:r>
      <w:r>
        <w:t xml:space="preserve">tion error for </w:t>
      </w:r>
      <w:r w:rsidR="00941854">
        <w:t>average</w:t>
      </w:r>
      <w:r>
        <w:t xml:space="preserve"> </w:t>
      </w:r>
      <w:r w:rsidR="00941854">
        <w:t>y when x is 100</w:t>
      </w:r>
      <w:r>
        <w:t xml:space="preserve"> = </w:t>
      </w:r>
      <w:r w:rsidR="00941854">
        <w:t>7</w:t>
      </w:r>
      <w:r>
        <w:t>.33188.</w:t>
      </w:r>
      <w:proofErr w:type="gramEnd"/>
    </w:p>
    <w:p w:rsidR="00B47E22" w:rsidRDefault="00B47E22" w:rsidP="00B47E22">
      <w:pPr>
        <w:rPr>
          <w:rFonts w:eastAsiaTheme="minorEastAsia"/>
        </w:rPr>
      </w:pPr>
      <w:r>
        <w:tab/>
      </w:r>
      <w:r>
        <w:tab/>
        <w:t xml:space="preserve">Half-width of 90% </w:t>
      </w:r>
      <w:r w:rsidR="00941854">
        <w:t>confidence</w:t>
      </w:r>
      <w:r>
        <w:t xml:space="preserve"> interval = </w:t>
      </w:r>
      <m:oMath>
        <m:r>
          <w:rPr>
            <w:rFonts w:ascii="Cambria Math" w:hAnsi="Cambria Math"/>
          </w:rPr>
          <m:t>1.282×</m:t>
        </m:r>
        <m:rad>
          <m:radPr>
            <m:degHide m:val="on"/>
            <m:ctrlPr>
              <w:rPr>
                <w:rFonts w:ascii="Cambria Math" w:hAnsi="Cambria Math"/>
                <w:i/>
              </w:rPr>
            </m:ctrlPr>
          </m:radPr>
          <m:deg/>
          <m:e>
            <m:r>
              <w:rPr>
                <w:rFonts w:ascii="Cambria Math" w:hAnsi="Cambria Math"/>
              </w:rPr>
              <m:t>7.33188</m:t>
            </m:r>
          </m:e>
        </m:rad>
      </m:oMath>
      <w:r>
        <w:rPr>
          <w:rFonts w:eastAsiaTheme="minorEastAsia"/>
        </w:rPr>
        <w:t xml:space="preserve"> = 3.</w:t>
      </w:r>
      <w:r w:rsidR="00941854">
        <w:rPr>
          <w:rFonts w:eastAsiaTheme="minorEastAsia"/>
        </w:rPr>
        <w:t>470</w:t>
      </w:r>
      <w:r>
        <w:rPr>
          <w:rFonts w:eastAsiaTheme="minorEastAsia"/>
        </w:rPr>
        <w:t>.</w:t>
      </w:r>
    </w:p>
    <w:p w:rsidR="00B47E22" w:rsidRDefault="00B47E22" w:rsidP="00B47E22">
      <w:pPr>
        <w:rPr>
          <w:rFonts w:ascii="Calibri" w:hAnsi="Calibri" w:cs="Calibri"/>
          <w:color w:val="000000"/>
        </w:rPr>
      </w:pPr>
      <w:r>
        <w:rPr>
          <w:rFonts w:eastAsiaTheme="minorEastAsia"/>
        </w:rPr>
        <w:tab/>
      </w:r>
      <w:r>
        <w:rPr>
          <w:rFonts w:eastAsiaTheme="minorEastAsia"/>
        </w:rPr>
        <w:tab/>
        <w:t xml:space="preserve">Hence, </w:t>
      </w:r>
      <w:r w:rsidRPr="00AD1300">
        <w:rPr>
          <w:rFonts w:ascii="Calibri" w:hAnsi="Calibri" w:cs="Calibri"/>
          <w:color w:val="000000"/>
        </w:rPr>
        <w:t xml:space="preserve">a 90% interval estimate for </w:t>
      </w:r>
      <w:r w:rsidR="00941854">
        <w:t>average y, when x is 100,</w:t>
      </w:r>
      <w:r>
        <w:rPr>
          <w:rFonts w:ascii="Calibri" w:hAnsi="Calibri" w:cs="Calibri"/>
          <w:color w:val="000000"/>
        </w:rPr>
        <w:t xml:space="preserve"> is</w:t>
      </w:r>
    </w:p>
    <w:p w:rsidR="00B47E22" w:rsidRDefault="00B47E22" w:rsidP="00B47E22">
      <w:pPr>
        <w:rPr>
          <w:rFonts w:ascii="Calibri" w:eastAsiaTheme="minorEastAsia" w:hAnsi="Calibri" w:cs="Calibri"/>
          <w:color w:val="000000"/>
        </w:rPr>
      </w:pPr>
      <w:r>
        <w:rPr>
          <w:rFonts w:ascii="Calibri" w:hAnsi="Calibri" w:cs="Calibri"/>
          <w:color w:val="000000"/>
        </w:rPr>
        <w:tab/>
      </w:r>
      <w:r>
        <w:rPr>
          <w:rFonts w:ascii="Calibri" w:hAnsi="Calibri" w:cs="Calibri"/>
          <w:color w:val="000000"/>
        </w:rPr>
        <w:tab/>
      </w:r>
      <m:oMath>
        <m:r>
          <w:rPr>
            <w:rFonts w:ascii="Cambria Math" w:hAnsi="Cambria Math" w:cs="Calibri"/>
            <w:color w:val="000000"/>
          </w:rPr>
          <m:t>100.032±3.470</m:t>
        </m:r>
      </m:oMath>
      <w:r>
        <w:rPr>
          <w:rFonts w:ascii="Calibri" w:eastAsiaTheme="minorEastAsia" w:hAnsi="Calibri" w:cs="Calibri"/>
          <w:color w:val="000000"/>
        </w:rPr>
        <w:t xml:space="preserve"> = (96.</w:t>
      </w:r>
      <w:r w:rsidR="00941854">
        <w:rPr>
          <w:rFonts w:ascii="Calibri" w:eastAsiaTheme="minorEastAsia" w:hAnsi="Calibri" w:cs="Calibri"/>
          <w:color w:val="000000"/>
        </w:rPr>
        <w:t>562</w:t>
      </w:r>
      <w:r>
        <w:rPr>
          <w:rFonts w:ascii="Calibri" w:eastAsiaTheme="minorEastAsia" w:hAnsi="Calibri" w:cs="Calibri"/>
          <w:color w:val="000000"/>
        </w:rPr>
        <w:t>, 103.</w:t>
      </w:r>
      <w:r w:rsidR="00941854">
        <w:rPr>
          <w:rFonts w:ascii="Calibri" w:eastAsiaTheme="minorEastAsia" w:hAnsi="Calibri" w:cs="Calibri"/>
          <w:color w:val="000000"/>
        </w:rPr>
        <w:t>502</w:t>
      </w:r>
      <w:r>
        <w:rPr>
          <w:rFonts w:ascii="Calibri" w:eastAsiaTheme="minorEastAsia" w:hAnsi="Calibri" w:cs="Calibri"/>
          <w:color w:val="000000"/>
        </w:rPr>
        <w:t>).</w:t>
      </w:r>
    </w:p>
    <w:p w:rsidR="00941854" w:rsidRDefault="00941854" w:rsidP="00941854">
      <w:pPr>
        <w:ind w:left="1418"/>
        <w:rPr>
          <w:rFonts w:ascii="Calibri" w:eastAsiaTheme="minorEastAsia" w:hAnsi="Calibri" w:cs="Calibri"/>
          <w:color w:val="000000"/>
        </w:rPr>
      </w:pPr>
      <w:r>
        <w:rPr>
          <w:rFonts w:ascii="Calibri" w:eastAsiaTheme="minorEastAsia" w:hAnsi="Calibri" w:cs="Calibri"/>
          <w:color w:val="000000"/>
        </w:rPr>
        <w:tab/>
      </w:r>
      <w:r w:rsidRPr="00941854">
        <w:rPr>
          <w:rFonts w:ascii="Calibri" w:eastAsiaTheme="minorEastAsia" w:hAnsi="Calibri" w:cs="Calibri"/>
          <w:color w:val="000000"/>
          <w:u w:val="single"/>
        </w:rPr>
        <w:t>Interpretation</w:t>
      </w:r>
      <w:r>
        <w:rPr>
          <w:rFonts w:ascii="Calibri" w:eastAsiaTheme="minorEastAsia" w:hAnsi="Calibri" w:cs="Calibri"/>
          <w:color w:val="000000"/>
        </w:rPr>
        <w:t xml:space="preserve">: This interval </w:t>
      </w:r>
      <w:r w:rsidR="00C74561">
        <w:rPr>
          <w:rFonts w:ascii="Calibri" w:eastAsiaTheme="minorEastAsia" w:hAnsi="Calibri" w:cs="Calibri"/>
          <w:color w:val="000000"/>
        </w:rPr>
        <w:t xml:space="preserve">estimate </w:t>
      </w:r>
      <w:r>
        <w:rPr>
          <w:rFonts w:ascii="Calibri" w:eastAsiaTheme="minorEastAsia" w:hAnsi="Calibri" w:cs="Calibri"/>
          <w:color w:val="000000"/>
        </w:rPr>
        <w:t xml:space="preserve">is narrower than the interval estimate of part (c) because it is meant to capture the </w:t>
      </w:r>
      <w:r w:rsidRPr="00941854">
        <w:rPr>
          <w:rFonts w:ascii="Calibri" w:eastAsiaTheme="minorEastAsia" w:hAnsi="Calibri" w:cs="Calibri"/>
          <w:i/>
          <w:color w:val="000000"/>
        </w:rPr>
        <w:t>average</w:t>
      </w:r>
      <w:r>
        <w:rPr>
          <w:rFonts w:ascii="Calibri" w:eastAsiaTheme="minorEastAsia" w:hAnsi="Calibri" w:cs="Calibri"/>
          <w:color w:val="000000"/>
        </w:rPr>
        <w:t xml:space="preserve"> y, which has less variation than a particular y.</w:t>
      </w:r>
    </w:p>
    <w:p w:rsidR="00F34A9C" w:rsidRDefault="00F34A9C">
      <w:pPr>
        <w:rPr>
          <w:rFonts w:eastAsiaTheme="minorEastAsia"/>
        </w:rPr>
      </w:pPr>
      <w:r>
        <w:rPr>
          <w:rFonts w:eastAsiaTheme="minorEastAsia"/>
        </w:rPr>
        <w:br w:type="page"/>
      </w:r>
    </w:p>
    <w:p w:rsidR="00B47E22" w:rsidRDefault="00F34A9C" w:rsidP="006F5546">
      <w:pPr>
        <w:tabs>
          <w:tab w:val="left" w:pos="851"/>
        </w:tabs>
        <w:ind w:left="1418" w:hanging="1418"/>
        <w:rPr>
          <w:rFonts w:eastAsiaTheme="minorEastAsia"/>
        </w:rPr>
      </w:pPr>
      <w:r>
        <w:rPr>
          <w:rFonts w:eastAsiaTheme="minorEastAsia"/>
        </w:rPr>
        <w:lastRenderedPageBreak/>
        <w:t>4.</w:t>
      </w:r>
      <w:r>
        <w:rPr>
          <w:rFonts w:eastAsiaTheme="minorEastAsia"/>
        </w:rPr>
        <w:tab/>
      </w:r>
      <w:r w:rsidR="006F5546">
        <w:rPr>
          <w:rFonts w:eastAsiaTheme="minorEastAsia"/>
        </w:rPr>
        <w:t>(</w:t>
      </w:r>
      <w:proofErr w:type="gramStart"/>
      <w:r w:rsidR="006F5546">
        <w:rPr>
          <w:rFonts w:eastAsiaTheme="minorEastAsia"/>
        </w:rPr>
        <w:t>a</w:t>
      </w:r>
      <w:proofErr w:type="gramEnd"/>
      <w:r w:rsidR="006F5546">
        <w:rPr>
          <w:rFonts w:eastAsiaTheme="minorEastAsia"/>
        </w:rPr>
        <w:t>)</w:t>
      </w:r>
      <w:r w:rsidR="006F5546">
        <w:rPr>
          <w:rFonts w:eastAsiaTheme="minorEastAsia"/>
        </w:rPr>
        <w:tab/>
        <w:t xml:space="preserve">The estimated parameters are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0</m:t>
            </m:r>
          </m:sub>
        </m:sSub>
        <m:r>
          <w:rPr>
            <w:rFonts w:ascii="Cambria Math" w:eastAsiaTheme="minorEastAsia" w:hAnsi="Cambria Math"/>
          </w:rPr>
          <m:t xml:space="preserve">=69630.8,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r>
          <w:rPr>
            <w:rFonts w:ascii="Cambria Math" w:eastAsiaTheme="minorEastAsia" w:hAnsi="Cambria Math"/>
          </w:rPr>
          <m:t xml:space="preserve">=90.37203,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2</m:t>
            </m:r>
          </m:sub>
        </m:sSub>
        <m:r>
          <w:rPr>
            <w:rFonts w:ascii="Cambria Math" w:eastAsiaTheme="minorEastAsia" w:hAnsi="Cambria Math"/>
          </w:rPr>
          <m:t>=-3629.5</m:t>
        </m:r>
      </m:oMath>
      <w:r w:rsidR="006F5546">
        <w:rPr>
          <w:rFonts w:eastAsiaTheme="minorEastAsia"/>
        </w:rPr>
        <w:t xml:space="preserve">. Thus, </w:t>
      </w:r>
      <w:r w:rsidR="006F5546" w:rsidRPr="006F5546">
        <w:rPr>
          <w:rFonts w:eastAsiaTheme="minorEastAsia"/>
        </w:rPr>
        <w:t>a regression equation to predict the selling price for residences</w:t>
      </w:r>
      <w:r w:rsidR="006F5546">
        <w:rPr>
          <w:rFonts w:eastAsiaTheme="minorEastAsia"/>
        </w:rPr>
        <w:t xml:space="preserve"> is</w:t>
      </w:r>
    </w:p>
    <w:p w:rsidR="006F5546" w:rsidRDefault="006F5546" w:rsidP="006F5546">
      <w:pPr>
        <w:tabs>
          <w:tab w:val="left" w:pos="851"/>
        </w:tabs>
        <w:ind w:left="1418" w:hanging="1418"/>
        <w:rPr>
          <w:rFonts w:eastAsiaTheme="minorEastAsia"/>
        </w:rPr>
      </w:pPr>
      <w:r>
        <w:rPr>
          <w:rFonts w:eastAsiaTheme="minorEastAsia"/>
        </w:rPr>
        <w:tab/>
      </w:r>
      <w:r>
        <w:rPr>
          <w:rFonts w:eastAsiaTheme="minorEastAsia"/>
        </w:rPr>
        <w:tab/>
      </w:r>
      <m:oMath>
        <m:r>
          <w:rPr>
            <w:rFonts w:ascii="Cambria Math" w:eastAsiaTheme="minorEastAsia" w:hAnsi="Cambria Math"/>
          </w:rPr>
          <m:t>y=69630.8+90.37203</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-3629.5</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oMath>
      <w:r>
        <w:rPr>
          <w:rFonts w:eastAsiaTheme="minorEastAsia"/>
        </w:rPr>
        <w:t>,</w:t>
      </w:r>
    </w:p>
    <w:p w:rsidR="006F5546" w:rsidRDefault="006F5546" w:rsidP="006F5546">
      <w:pPr>
        <w:tabs>
          <w:tab w:val="left" w:pos="851"/>
        </w:tabs>
        <w:ind w:left="1418" w:hanging="1418"/>
        <w:rPr>
          <w:rFonts w:eastAsiaTheme="minorEastAsia"/>
        </w:rPr>
      </w:pPr>
      <w:r>
        <w:rPr>
          <w:rFonts w:eastAsiaTheme="minorEastAsia"/>
        </w:rPr>
        <w:tab/>
      </w:r>
      <w:r>
        <w:rPr>
          <w:rFonts w:eastAsiaTheme="minorEastAsia"/>
        </w:rPr>
        <w:tab/>
      </w:r>
      <w:proofErr w:type="gramStart"/>
      <w:r>
        <w:rPr>
          <w:rFonts w:eastAsiaTheme="minorEastAsia"/>
        </w:rPr>
        <w:t>where</w:t>
      </w:r>
      <w:proofErr w:type="gramEnd"/>
      <w:r>
        <w:rPr>
          <w:rFonts w:eastAsiaTheme="minorEastAsia"/>
        </w:rPr>
        <w:t xml:space="preserve"> the </w:t>
      </w:r>
      <m:oMath>
        <m:r>
          <w:rPr>
            <w:rFonts w:ascii="Cambria Math" w:eastAsiaTheme="minorEastAsia" w:hAnsi="Cambria Math"/>
          </w:rPr>
          <m:t>y</m:t>
        </m:r>
      </m:oMath>
      <w:r w:rsidR="006460CD">
        <w:rPr>
          <w:rFonts w:eastAsiaTheme="minorEastAsia"/>
        </w:rPr>
        <w:t xml:space="preserve"> is the selling price in dollars</w:t>
      </w: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oMath>
      <w:r w:rsidR="006460CD">
        <w:rPr>
          <w:rFonts w:eastAsiaTheme="minorEastAsia"/>
        </w:rPr>
        <w:t xml:space="preserve"> is the size in square feet</w:t>
      </w:r>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oMath>
      <w:r>
        <w:rPr>
          <w:rFonts w:eastAsiaTheme="minorEastAsia"/>
        </w:rPr>
        <w:t xml:space="preserve"> </w:t>
      </w:r>
      <w:r w:rsidR="006460CD">
        <w:rPr>
          <w:rFonts w:eastAsiaTheme="minorEastAsia"/>
        </w:rPr>
        <w:t>is 1 for condominium and 0 for single family home</w:t>
      </w:r>
      <w:r>
        <w:rPr>
          <w:rFonts w:eastAsiaTheme="minorEastAsia"/>
        </w:rPr>
        <w:t>.</w:t>
      </w:r>
    </w:p>
    <w:p w:rsidR="006F5546" w:rsidRDefault="006F5546" w:rsidP="00A331E4">
      <w:pPr>
        <w:tabs>
          <w:tab w:val="left" w:pos="851"/>
        </w:tabs>
        <w:ind w:left="1418" w:hanging="1418"/>
        <w:jc w:val="both"/>
        <w:rPr>
          <w:rFonts w:eastAsiaTheme="minorEastAsia"/>
        </w:rPr>
      </w:pPr>
      <w:r>
        <w:rPr>
          <w:rFonts w:eastAsiaTheme="minorEastAsia"/>
        </w:rPr>
        <w:tab/>
        <w:t>(b)</w:t>
      </w:r>
      <w:r>
        <w:rPr>
          <w:rFonts w:eastAsiaTheme="minorEastAsia"/>
        </w:rPr>
        <w:tab/>
        <w:t xml:space="preserve">The parameter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oMath>
      <w:r>
        <w:rPr>
          <w:rFonts w:eastAsiaTheme="minorEastAsia"/>
        </w:rPr>
        <w:t xml:space="preserve"> represents the </w:t>
      </w:r>
      <w:r w:rsidR="00A331E4">
        <w:rPr>
          <w:rFonts w:eastAsiaTheme="minorEastAsia"/>
        </w:rPr>
        <w:t xml:space="preserve">increase in average selling price of a residence for every additional square foot of size for a particular type of house. For the given data, the estimated value of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oMath>
      <w:r w:rsidR="00A331E4">
        <w:rPr>
          <w:rFonts w:eastAsiaTheme="minorEastAsia"/>
        </w:rPr>
        <w:t xml:space="preserve"> is $90.37 per square foot.</w:t>
      </w:r>
    </w:p>
    <w:p w:rsidR="00A331E4" w:rsidRDefault="00A331E4" w:rsidP="00A331E4">
      <w:pPr>
        <w:tabs>
          <w:tab w:val="left" w:pos="851"/>
        </w:tabs>
        <w:ind w:left="1418" w:hanging="1418"/>
        <w:jc w:val="both"/>
        <w:rPr>
          <w:rFonts w:eastAsiaTheme="minorEastAsia"/>
        </w:rPr>
      </w:pPr>
      <w:r>
        <w:rPr>
          <w:rFonts w:eastAsiaTheme="minorEastAsia"/>
        </w:rPr>
        <w:tab/>
      </w:r>
      <w:r>
        <w:rPr>
          <w:rFonts w:eastAsiaTheme="minorEastAsia"/>
        </w:rPr>
        <w:tab/>
        <w:t xml:space="preserve">The parameter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2</m:t>
            </m:r>
          </m:sub>
        </m:sSub>
      </m:oMath>
      <w:r>
        <w:rPr>
          <w:rFonts w:eastAsiaTheme="minorEastAsia"/>
        </w:rPr>
        <w:t xml:space="preserve"> represents the excess average price of a condominium over the average price of a single family home of same size. Since the estimated value of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2</m:t>
            </m:r>
          </m:sub>
        </m:sSub>
      </m:oMath>
      <w:r>
        <w:rPr>
          <w:rFonts w:eastAsiaTheme="minorEastAsia"/>
        </w:rPr>
        <w:t xml:space="preserve"> is $-3629.5, it can be said that the average selling price of a condominium is $3629.5 less than the average selling price of a single family home of the same size.</w:t>
      </w:r>
    </w:p>
    <w:p w:rsidR="00A331E4" w:rsidRDefault="00A331E4" w:rsidP="00A331E4">
      <w:pPr>
        <w:tabs>
          <w:tab w:val="left" w:pos="851"/>
        </w:tabs>
        <w:ind w:left="1418" w:hanging="1418"/>
        <w:jc w:val="both"/>
        <w:rPr>
          <w:rFonts w:eastAsiaTheme="minorEastAsia"/>
        </w:rPr>
      </w:pPr>
      <w:r>
        <w:rPr>
          <w:rFonts w:eastAsiaTheme="minorEastAsia"/>
        </w:rPr>
        <w:tab/>
        <w:t>(c)</w:t>
      </w:r>
      <w:r>
        <w:rPr>
          <w:rFonts w:eastAsiaTheme="minorEastAsia"/>
        </w:rPr>
        <w:tab/>
        <w:t>For condominiums</w:t>
      </w:r>
      <w:proofErr w:type="gramStart"/>
      <w:r>
        <w:rPr>
          <w:rFonts w:eastAsiaTheme="minorEastAsia"/>
        </w:rPr>
        <w:t xml:space="preserve">, </w:t>
      </w:r>
      <m:oMath>
        <w:proofErr w:type="gramEnd"/>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=1</m:t>
        </m:r>
      </m:oMath>
      <w:r>
        <w:rPr>
          <w:rFonts w:eastAsiaTheme="minorEastAsia"/>
        </w:rPr>
        <w:t xml:space="preserve">. Therefore, </w:t>
      </w:r>
      <w:r w:rsidR="006460CD" w:rsidRPr="006460CD">
        <w:rPr>
          <w:rFonts w:eastAsiaTheme="minorEastAsia"/>
        </w:rPr>
        <w:t>an equation that describes the relationship between the selling price and the square footage of condominiums</w:t>
      </w:r>
      <w:r w:rsidR="006460CD">
        <w:rPr>
          <w:rFonts w:eastAsiaTheme="minorEastAsia"/>
        </w:rPr>
        <w:t xml:space="preserve"> is</w:t>
      </w:r>
    </w:p>
    <w:p w:rsidR="006460CD" w:rsidRDefault="006460CD" w:rsidP="00A331E4">
      <w:pPr>
        <w:tabs>
          <w:tab w:val="left" w:pos="851"/>
        </w:tabs>
        <w:ind w:left="1418" w:hanging="1418"/>
        <w:jc w:val="both"/>
        <w:rPr>
          <w:rFonts w:eastAsiaTheme="minorEastAsia"/>
        </w:rPr>
      </w:pPr>
      <w:r>
        <w:rPr>
          <w:rFonts w:eastAsiaTheme="minorEastAsia"/>
        </w:rPr>
        <w:tab/>
      </w:r>
      <w:r>
        <w:rPr>
          <w:rFonts w:eastAsiaTheme="minorEastAsia"/>
        </w:rPr>
        <w:tab/>
      </w:r>
      <m:oMath>
        <m:r>
          <w:rPr>
            <w:rFonts w:ascii="Cambria Math" w:eastAsiaTheme="minorEastAsia" w:hAnsi="Cambria Math"/>
          </w:rPr>
          <m:t>y=66001.3+90.37203</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oMath>
      <w:r>
        <w:rPr>
          <w:rFonts w:eastAsiaTheme="minorEastAsia"/>
        </w:rPr>
        <w:t>,</w:t>
      </w:r>
    </w:p>
    <w:p w:rsidR="006460CD" w:rsidRDefault="006460CD" w:rsidP="00A331E4">
      <w:pPr>
        <w:tabs>
          <w:tab w:val="left" w:pos="851"/>
        </w:tabs>
        <w:ind w:left="1418" w:hanging="1418"/>
        <w:jc w:val="both"/>
        <w:rPr>
          <w:rFonts w:eastAsiaTheme="minorEastAsia"/>
        </w:rPr>
      </w:pPr>
      <w:r>
        <w:rPr>
          <w:rFonts w:eastAsiaTheme="minorEastAsia"/>
        </w:rPr>
        <w:tab/>
      </w:r>
      <w:r>
        <w:rPr>
          <w:rFonts w:eastAsiaTheme="minorEastAsia"/>
        </w:rPr>
        <w:tab/>
      </w:r>
      <w:proofErr w:type="gramStart"/>
      <w:r>
        <w:rPr>
          <w:rFonts w:eastAsiaTheme="minorEastAsia"/>
        </w:rPr>
        <w:t>where</w:t>
      </w:r>
      <w:proofErr w:type="gramEnd"/>
      <w:r>
        <w:rPr>
          <w:rFonts w:eastAsiaTheme="minorEastAsia"/>
        </w:rPr>
        <w:t xml:space="preserve"> the </w:t>
      </w:r>
      <m:oMath>
        <m:r>
          <w:rPr>
            <w:rFonts w:ascii="Cambria Math" w:eastAsiaTheme="minorEastAsia" w:hAnsi="Cambria Math"/>
          </w:rPr>
          <m:t>y</m:t>
        </m:r>
      </m:oMath>
      <w:r>
        <w:rPr>
          <w:rFonts w:eastAsiaTheme="minorEastAsia"/>
        </w:rPr>
        <w:t xml:space="preserve"> is the selling price in dollars and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oMath>
      <w:r>
        <w:rPr>
          <w:rFonts w:eastAsiaTheme="minorEastAsia"/>
        </w:rPr>
        <w:t xml:space="preserve"> is the size in square feet.</w:t>
      </w:r>
    </w:p>
    <w:p w:rsidR="006460CD" w:rsidRDefault="006460CD" w:rsidP="00A331E4">
      <w:pPr>
        <w:tabs>
          <w:tab w:val="left" w:pos="851"/>
        </w:tabs>
        <w:ind w:left="1418" w:hanging="1418"/>
        <w:jc w:val="both"/>
        <w:rPr>
          <w:rFonts w:eastAsiaTheme="minorEastAsia"/>
        </w:rPr>
      </w:pPr>
      <w:r>
        <w:rPr>
          <w:rFonts w:eastAsiaTheme="minorEastAsia"/>
        </w:rPr>
        <w:tab/>
      </w:r>
      <w:r>
        <w:rPr>
          <w:rFonts w:eastAsiaTheme="minorEastAsia"/>
        </w:rPr>
        <w:tab/>
        <w:t xml:space="preserve">Likewise, </w:t>
      </w:r>
      <w:r w:rsidRPr="006460CD">
        <w:rPr>
          <w:rFonts w:eastAsiaTheme="minorEastAsia"/>
        </w:rPr>
        <w:t>an equation that describes the relationship between the selling price and the square footage of</w:t>
      </w:r>
      <w:r>
        <w:rPr>
          <w:rFonts w:eastAsiaTheme="minorEastAsia"/>
        </w:rPr>
        <w:t xml:space="preserve"> single family homes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=0</m:t>
        </m:r>
      </m:oMath>
      <w:r>
        <w:rPr>
          <w:rFonts w:eastAsiaTheme="minorEastAsia"/>
        </w:rPr>
        <w:t>) is</w:t>
      </w:r>
    </w:p>
    <w:p w:rsidR="006460CD" w:rsidRDefault="006460CD" w:rsidP="006460CD">
      <w:pPr>
        <w:tabs>
          <w:tab w:val="left" w:pos="851"/>
        </w:tabs>
        <w:ind w:left="1418" w:hanging="1418"/>
        <w:rPr>
          <w:rFonts w:eastAsiaTheme="minorEastAsia"/>
        </w:rPr>
      </w:pPr>
      <w:r>
        <w:rPr>
          <w:rFonts w:eastAsiaTheme="minorEastAsia"/>
        </w:rPr>
        <w:tab/>
      </w:r>
      <w:r>
        <w:rPr>
          <w:rFonts w:eastAsiaTheme="minorEastAsia"/>
        </w:rPr>
        <w:tab/>
      </w:r>
      <m:oMath>
        <m:r>
          <w:rPr>
            <w:rFonts w:ascii="Cambria Math" w:eastAsiaTheme="minorEastAsia" w:hAnsi="Cambria Math"/>
          </w:rPr>
          <m:t>y=69630.8+90.37203</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oMath>
      <w:r>
        <w:rPr>
          <w:rFonts w:eastAsiaTheme="minorEastAsia"/>
        </w:rPr>
        <w:t>,</w:t>
      </w:r>
    </w:p>
    <w:p w:rsidR="006460CD" w:rsidRDefault="006460CD" w:rsidP="006460CD">
      <w:pPr>
        <w:tabs>
          <w:tab w:val="left" w:pos="851"/>
        </w:tabs>
        <w:ind w:left="1418" w:hanging="1418"/>
        <w:jc w:val="both"/>
        <w:rPr>
          <w:rFonts w:eastAsiaTheme="minorEastAsia"/>
        </w:rPr>
      </w:pPr>
      <w:r>
        <w:rPr>
          <w:rFonts w:eastAsiaTheme="minorEastAsia"/>
        </w:rPr>
        <w:tab/>
      </w:r>
      <w:r>
        <w:rPr>
          <w:rFonts w:eastAsiaTheme="minorEastAsia"/>
        </w:rPr>
        <w:tab/>
      </w:r>
      <w:proofErr w:type="gramStart"/>
      <w:r>
        <w:rPr>
          <w:rFonts w:eastAsiaTheme="minorEastAsia"/>
        </w:rPr>
        <w:t>where</w:t>
      </w:r>
      <w:proofErr w:type="gramEnd"/>
      <w:r>
        <w:rPr>
          <w:rFonts w:eastAsiaTheme="minorEastAsia"/>
        </w:rPr>
        <w:t xml:space="preserve"> the </w:t>
      </w:r>
      <m:oMath>
        <m:r>
          <w:rPr>
            <w:rFonts w:ascii="Cambria Math" w:eastAsiaTheme="minorEastAsia" w:hAnsi="Cambria Math"/>
          </w:rPr>
          <m:t>y</m:t>
        </m:r>
      </m:oMath>
      <w:r>
        <w:rPr>
          <w:rFonts w:eastAsiaTheme="minorEastAsia"/>
        </w:rPr>
        <w:t xml:space="preserve"> is the selling price in dollars and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oMath>
      <w:r>
        <w:rPr>
          <w:rFonts w:eastAsiaTheme="minorEastAsia"/>
        </w:rPr>
        <w:t xml:space="preserve"> is the size in square feet.</w:t>
      </w:r>
    </w:p>
    <w:p w:rsidR="001C1538" w:rsidRDefault="001C1538" w:rsidP="006460CD">
      <w:pPr>
        <w:tabs>
          <w:tab w:val="left" w:pos="851"/>
        </w:tabs>
        <w:ind w:left="1418" w:hanging="1418"/>
        <w:jc w:val="both"/>
        <w:rPr>
          <w:rFonts w:eastAsiaTheme="minorEastAsia"/>
        </w:rPr>
      </w:pPr>
      <w:r>
        <w:rPr>
          <w:rFonts w:eastAsiaTheme="minorEastAsia"/>
        </w:rPr>
        <w:tab/>
        <w:t>(d)</w:t>
      </w:r>
      <w:r>
        <w:rPr>
          <w:rFonts w:eastAsiaTheme="minorEastAsia"/>
        </w:rPr>
        <w:tab/>
        <w:t xml:space="preserve">The </w:t>
      </w:r>
      <w:r w:rsidRPr="001C1538">
        <w:rPr>
          <w:rFonts w:eastAsiaTheme="minorEastAsia"/>
        </w:rPr>
        <w:t xml:space="preserve">hypothesis </w:t>
      </w:r>
      <w:r>
        <w:rPr>
          <w:rFonts w:eastAsiaTheme="minorEastAsia"/>
        </w:rPr>
        <w:t>that</w:t>
      </w:r>
      <w:r w:rsidRPr="001C1538">
        <w:rPr>
          <w:rFonts w:eastAsiaTheme="minorEastAsia"/>
        </w:rPr>
        <w:t xml:space="preserve"> the relationship between the selling price and the square footage is different between condominiums and single-family homes</w:t>
      </w:r>
      <w:r>
        <w:rPr>
          <w:rFonts w:eastAsiaTheme="minorEastAsia"/>
        </w:rPr>
        <w:t xml:space="preserve">, under the model given in part (a), is the </w:t>
      </w:r>
      <w:proofErr w:type="gramStart"/>
      <w:r>
        <w:rPr>
          <w:rFonts w:eastAsiaTheme="minorEastAsia"/>
        </w:rPr>
        <w:t xml:space="preserve">hypothesis </w:t>
      </w:r>
      <m:oMath>
        <w:proofErr w:type="gramEnd"/>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2</m:t>
            </m:r>
          </m:sub>
        </m:sSub>
        <m:r>
          <w:rPr>
            <w:rFonts w:ascii="Cambria Math" w:eastAsiaTheme="minorEastAsia" w:hAnsi="Cambria Math"/>
          </w:rPr>
          <m:t>≠0</m:t>
        </m:r>
      </m:oMath>
      <w:r>
        <w:rPr>
          <w:rFonts w:eastAsiaTheme="minorEastAsia"/>
        </w:rPr>
        <w:t xml:space="preserve">. The corresponding null hypothesis </w:t>
      </w:r>
      <w:proofErr w:type="gramStart"/>
      <w:r>
        <w:rPr>
          <w:rFonts w:eastAsiaTheme="minorEastAsia"/>
        </w:rPr>
        <w:t xml:space="preserve">is </w:t>
      </w:r>
      <m:oMath>
        <w:proofErr w:type="gramEnd"/>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2</m:t>
            </m:r>
          </m:sub>
        </m:sSub>
        <m:r>
          <w:rPr>
            <w:rFonts w:ascii="Cambria Math" w:eastAsiaTheme="minorEastAsia" w:hAnsi="Cambria Math"/>
          </w:rPr>
          <m:t>=0</m:t>
        </m:r>
      </m:oMath>
      <w:r>
        <w:rPr>
          <w:rFonts w:eastAsiaTheme="minorEastAsia"/>
        </w:rPr>
        <w:t xml:space="preserve">. This hypothesis is tested against the alternative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2</m:t>
            </m:r>
          </m:sub>
        </m:sSub>
        <m:r>
          <w:rPr>
            <w:rFonts w:ascii="Cambria Math" w:eastAsiaTheme="minorEastAsia" w:hAnsi="Cambria Math"/>
          </w:rPr>
          <m:t>≠0</m:t>
        </m:r>
      </m:oMath>
      <w:r>
        <w:rPr>
          <w:rFonts w:eastAsiaTheme="minorEastAsia"/>
        </w:rPr>
        <w:t xml:space="preserve"> by the t-statistic </w:t>
      </w:r>
      <w:proofErr w:type="gramStart"/>
      <w:r>
        <w:rPr>
          <w:rFonts w:eastAsiaTheme="minorEastAsia"/>
        </w:rPr>
        <w:t xml:space="preserve">for  </w:t>
      </w:r>
      <m:oMath>
        <w:proofErr w:type="gramEnd"/>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2</m:t>
            </m:r>
          </m:sub>
        </m:sSub>
      </m:oMath>
      <w:r>
        <w:rPr>
          <w:rFonts w:eastAsiaTheme="minorEastAsia"/>
        </w:rPr>
        <w:t xml:space="preserve">, which happens to be -0.2284. With 17 degrees of freedom, the p-value happens to be 0.822. Since the p-value is very large, the hypothesis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2</m:t>
            </m:r>
          </m:sub>
        </m:sSub>
        <m:r>
          <w:rPr>
            <w:rFonts w:ascii="Cambria Math" w:eastAsiaTheme="minorEastAsia" w:hAnsi="Cambria Math"/>
          </w:rPr>
          <m:t>=0</m:t>
        </m:r>
      </m:oMath>
      <w:r>
        <w:rPr>
          <w:rFonts w:eastAsiaTheme="minorEastAsia"/>
        </w:rPr>
        <w:t xml:space="preserve"> cannot be rejected. Thus, </w:t>
      </w:r>
      <w:r w:rsidR="00C864E4">
        <w:rPr>
          <w:rFonts w:eastAsiaTheme="minorEastAsia"/>
        </w:rPr>
        <w:t xml:space="preserve">one cannot reject </w:t>
      </w:r>
      <w:r>
        <w:rPr>
          <w:rFonts w:eastAsiaTheme="minorEastAsia"/>
        </w:rPr>
        <w:t xml:space="preserve">the </w:t>
      </w:r>
      <w:r w:rsidRPr="001C1538">
        <w:rPr>
          <w:rFonts w:eastAsiaTheme="minorEastAsia"/>
        </w:rPr>
        <w:t xml:space="preserve">hypothesis </w:t>
      </w:r>
      <w:r w:rsidR="00C864E4">
        <w:rPr>
          <w:rFonts w:eastAsiaTheme="minorEastAsia"/>
        </w:rPr>
        <w:t>that</w:t>
      </w:r>
      <w:r w:rsidRPr="001C1538">
        <w:rPr>
          <w:rFonts w:eastAsiaTheme="minorEastAsia"/>
        </w:rPr>
        <w:t xml:space="preserve"> the relationship between the selling price and the square footage is </w:t>
      </w:r>
      <w:r w:rsidR="00C864E4">
        <w:rPr>
          <w:rFonts w:eastAsiaTheme="minorEastAsia"/>
        </w:rPr>
        <w:t>the same for</w:t>
      </w:r>
      <w:r w:rsidRPr="001C1538">
        <w:rPr>
          <w:rFonts w:eastAsiaTheme="minorEastAsia"/>
        </w:rPr>
        <w:t xml:space="preserve"> condominiums and single-family homes</w:t>
      </w:r>
      <w:r w:rsidR="00C864E4">
        <w:rPr>
          <w:rFonts w:eastAsiaTheme="minorEastAsia"/>
        </w:rPr>
        <w:t>.</w:t>
      </w:r>
    </w:p>
    <w:p w:rsidR="005F3FD5" w:rsidRDefault="005F3FD5">
      <w:pPr>
        <w:rPr>
          <w:rFonts w:eastAsiaTheme="minorEastAsia"/>
        </w:rPr>
      </w:pPr>
      <w:r>
        <w:rPr>
          <w:rFonts w:eastAsiaTheme="minorEastAsia"/>
        </w:rPr>
        <w:br w:type="page"/>
      </w:r>
    </w:p>
    <w:p w:rsidR="005F3FD5" w:rsidRPr="00B47E22" w:rsidRDefault="005F3FD5" w:rsidP="005F3FD5">
      <w:pPr>
        <w:tabs>
          <w:tab w:val="left" w:pos="851"/>
        </w:tabs>
        <w:ind w:left="851" w:hanging="851"/>
        <w:jc w:val="both"/>
        <w:rPr>
          <w:rFonts w:eastAsiaTheme="minorEastAsia"/>
        </w:rPr>
      </w:pPr>
      <w:r>
        <w:rPr>
          <w:rFonts w:eastAsiaTheme="minorEastAsia"/>
        </w:rPr>
        <w:lastRenderedPageBreak/>
        <w:t>5.</w:t>
      </w:r>
      <w:r>
        <w:rPr>
          <w:rFonts w:eastAsiaTheme="minorEastAsia"/>
        </w:rPr>
        <w:tab/>
        <w:t>The original series, the trend line through a five-point moving average, the de-</w:t>
      </w:r>
      <w:proofErr w:type="spellStart"/>
      <w:r w:rsidR="00B8321C">
        <w:rPr>
          <w:rFonts w:eastAsiaTheme="minorEastAsia"/>
        </w:rPr>
        <w:t>seasonalis</w:t>
      </w:r>
      <w:r>
        <w:rPr>
          <w:rFonts w:eastAsiaTheme="minorEastAsia"/>
        </w:rPr>
        <w:t>ed</w:t>
      </w:r>
      <w:proofErr w:type="spellEnd"/>
      <w:r>
        <w:rPr>
          <w:rFonts w:eastAsiaTheme="minorEastAsia"/>
        </w:rPr>
        <w:t xml:space="preserve"> series</w:t>
      </w:r>
      <w:r w:rsidR="00B8321C">
        <w:rPr>
          <w:rFonts w:eastAsiaTheme="minorEastAsia"/>
        </w:rPr>
        <w:t xml:space="preserve"> and the intermediate calculations</w:t>
      </w:r>
      <w:r>
        <w:rPr>
          <w:rFonts w:eastAsiaTheme="minorEastAsia"/>
        </w:rPr>
        <w:t xml:space="preserve"> are given the following table.</w:t>
      </w:r>
    </w:p>
    <w:tbl>
      <w:tblPr>
        <w:tblW w:w="8878" w:type="dxa"/>
        <w:tblInd w:w="959" w:type="dxa"/>
        <w:tblLook w:val="04A0"/>
      </w:tblPr>
      <w:tblGrid>
        <w:gridCol w:w="714"/>
        <w:gridCol w:w="922"/>
        <w:gridCol w:w="921"/>
        <w:gridCol w:w="850"/>
        <w:gridCol w:w="1006"/>
        <w:gridCol w:w="1092"/>
        <w:gridCol w:w="991"/>
        <w:gridCol w:w="1029"/>
        <w:gridCol w:w="1353"/>
      </w:tblGrid>
      <w:tr w:rsidR="00B8321C" w:rsidRPr="00B8321C" w:rsidTr="00B8321C">
        <w:trPr>
          <w:trHeight w:val="285"/>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Year</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Quarter</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Original series</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Trend line</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Seasonal MA</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rPr>
                <w:rFonts w:ascii="Calibri" w:eastAsia="Times New Roman" w:hAnsi="Calibri" w:cs="Times New Roman"/>
                <w:color w:val="BFBFBF" w:themeColor="background1" w:themeShade="BF"/>
                <w:lang w:eastAsia="en-IN"/>
              </w:rPr>
            </w:pPr>
            <w:proofErr w:type="spellStart"/>
            <w:r w:rsidRPr="00B8321C">
              <w:rPr>
                <w:rFonts w:ascii="Calibri" w:eastAsia="Times New Roman" w:hAnsi="Calibri" w:cs="Times New Roman"/>
                <w:color w:val="BFBFBF" w:themeColor="background1" w:themeShade="BF"/>
                <w:lang w:eastAsia="en-IN"/>
              </w:rPr>
              <w:t>Seasonals</w:t>
            </w:r>
            <w:proofErr w:type="spellEnd"/>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Crude seasonal index</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Modified seasonal index</w:t>
            </w:r>
          </w:p>
        </w:tc>
        <w:tc>
          <w:tcPr>
            <w:tcW w:w="1353" w:type="dxa"/>
            <w:tcBorders>
              <w:top w:val="single" w:sz="4" w:space="0" w:color="auto"/>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De-</w:t>
            </w:r>
            <w:proofErr w:type="spellStart"/>
            <w:r w:rsidRPr="00B8321C">
              <w:rPr>
                <w:rFonts w:ascii="Calibri" w:eastAsia="Times New Roman" w:hAnsi="Calibri" w:cs="Times New Roman"/>
                <w:color w:val="000000"/>
                <w:lang w:eastAsia="en-IN"/>
              </w:rPr>
              <w:t>seasonalised</w:t>
            </w:r>
            <w:proofErr w:type="spellEnd"/>
            <w:r w:rsidRPr="00B8321C">
              <w:rPr>
                <w:rFonts w:ascii="Calibri" w:eastAsia="Times New Roman" w:hAnsi="Calibri" w:cs="Times New Roman"/>
                <w:color w:val="000000"/>
                <w:lang w:eastAsia="en-IN"/>
              </w:rPr>
              <w:t xml:space="preserve"> series</w:t>
            </w:r>
          </w:p>
        </w:tc>
      </w:tr>
      <w:tr w:rsidR="00B8321C" w:rsidRPr="00B8321C" w:rsidTr="00B8321C">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1997</w:t>
            </w:r>
          </w:p>
        </w:tc>
        <w:tc>
          <w:tcPr>
            <w:tcW w:w="922"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Q1</w:t>
            </w:r>
          </w:p>
        </w:tc>
        <w:tc>
          <w:tcPr>
            <w:tcW w:w="921"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441.1</w:t>
            </w:r>
          </w:p>
        </w:tc>
        <w:tc>
          <w:tcPr>
            <w:tcW w:w="850"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 </w:t>
            </w:r>
          </w:p>
        </w:tc>
        <w:tc>
          <w:tcPr>
            <w:tcW w:w="1006"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 </w:t>
            </w:r>
          </w:p>
        </w:tc>
        <w:tc>
          <w:tcPr>
            <w:tcW w:w="1092"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 </w:t>
            </w:r>
          </w:p>
        </w:tc>
        <w:tc>
          <w:tcPr>
            <w:tcW w:w="991"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 </w:t>
            </w:r>
          </w:p>
        </w:tc>
        <w:tc>
          <w:tcPr>
            <w:tcW w:w="1029"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103.9%</w:t>
            </w:r>
          </w:p>
        </w:tc>
        <w:tc>
          <w:tcPr>
            <w:tcW w:w="1353"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424.5</w:t>
            </w:r>
          </w:p>
        </w:tc>
      </w:tr>
      <w:tr w:rsidR="00B8321C" w:rsidRPr="00B8321C" w:rsidTr="00B8321C">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1997</w:t>
            </w:r>
          </w:p>
        </w:tc>
        <w:tc>
          <w:tcPr>
            <w:tcW w:w="922"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Q2</w:t>
            </w:r>
          </w:p>
        </w:tc>
        <w:tc>
          <w:tcPr>
            <w:tcW w:w="921"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397.7</w:t>
            </w:r>
          </w:p>
        </w:tc>
        <w:tc>
          <w:tcPr>
            <w:tcW w:w="850"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 </w:t>
            </w:r>
          </w:p>
        </w:tc>
        <w:tc>
          <w:tcPr>
            <w:tcW w:w="1006"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 </w:t>
            </w:r>
          </w:p>
        </w:tc>
        <w:tc>
          <w:tcPr>
            <w:tcW w:w="1092"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 </w:t>
            </w:r>
          </w:p>
        </w:tc>
        <w:tc>
          <w:tcPr>
            <w:tcW w:w="991"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 </w:t>
            </w:r>
          </w:p>
        </w:tc>
        <w:tc>
          <w:tcPr>
            <w:tcW w:w="1029"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97.2%</w:t>
            </w:r>
          </w:p>
        </w:tc>
        <w:tc>
          <w:tcPr>
            <w:tcW w:w="1353"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409.2</w:t>
            </w:r>
          </w:p>
        </w:tc>
      </w:tr>
      <w:tr w:rsidR="00B8321C" w:rsidRPr="00B8321C" w:rsidTr="00B8321C">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1997</w:t>
            </w:r>
          </w:p>
        </w:tc>
        <w:tc>
          <w:tcPr>
            <w:tcW w:w="922"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Q3</w:t>
            </w:r>
          </w:p>
        </w:tc>
        <w:tc>
          <w:tcPr>
            <w:tcW w:w="921"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396.1</w:t>
            </w:r>
          </w:p>
        </w:tc>
        <w:tc>
          <w:tcPr>
            <w:tcW w:w="850"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lang w:eastAsia="en-IN"/>
              </w:rPr>
            </w:pPr>
            <w:r w:rsidRPr="00B8321C">
              <w:rPr>
                <w:rFonts w:ascii="Calibri" w:eastAsia="Times New Roman" w:hAnsi="Calibri" w:cs="Times New Roman"/>
                <w:lang w:eastAsia="en-IN"/>
              </w:rPr>
              <w:t>436.82</w:t>
            </w:r>
          </w:p>
        </w:tc>
        <w:tc>
          <w:tcPr>
            <w:tcW w:w="1006"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426.925</w:t>
            </w:r>
          </w:p>
        </w:tc>
        <w:tc>
          <w:tcPr>
            <w:tcW w:w="1092"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92.8%</w:t>
            </w:r>
          </w:p>
        </w:tc>
        <w:tc>
          <w:tcPr>
            <w:tcW w:w="991"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93.75%</w:t>
            </w:r>
          </w:p>
        </w:tc>
        <w:tc>
          <w:tcPr>
            <w:tcW w:w="1029"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91.8%</w:t>
            </w:r>
          </w:p>
        </w:tc>
        <w:tc>
          <w:tcPr>
            <w:tcW w:w="1353"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431.3</w:t>
            </w:r>
          </w:p>
        </w:tc>
      </w:tr>
      <w:tr w:rsidR="00B8321C" w:rsidRPr="00B8321C" w:rsidTr="00B8321C">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1997</w:t>
            </w:r>
          </w:p>
        </w:tc>
        <w:tc>
          <w:tcPr>
            <w:tcW w:w="922"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Q4</w:t>
            </w:r>
          </w:p>
        </w:tc>
        <w:tc>
          <w:tcPr>
            <w:tcW w:w="921"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472.8</w:t>
            </w:r>
          </w:p>
        </w:tc>
        <w:tc>
          <w:tcPr>
            <w:tcW w:w="850"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lang w:eastAsia="en-IN"/>
              </w:rPr>
            </w:pPr>
            <w:r w:rsidRPr="00B8321C">
              <w:rPr>
                <w:rFonts w:ascii="Calibri" w:eastAsia="Times New Roman" w:hAnsi="Calibri" w:cs="Times New Roman"/>
                <w:lang w:eastAsia="en-IN"/>
              </w:rPr>
              <w:t>439.48</w:t>
            </w:r>
          </w:p>
        </w:tc>
        <w:tc>
          <w:tcPr>
            <w:tcW w:w="1006"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435.75</w:t>
            </w:r>
          </w:p>
        </w:tc>
        <w:tc>
          <w:tcPr>
            <w:tcW w:w="1092"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108.5%</w:t>
            </w:r>
          </w:p>
        </w:tc>
        <w:tc>
          <w:tcPr>
            <w:tcW w:w="991"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109.28%</w:t>
            </w:r>
          </w:p>
        </w:tc>
        <w:tc>
          <w:tcPr>
            <w:tcW w:w="1029"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107.1%</w:t>
            </w:r>
          </w:p>
        </w:tc>
        <w:tc>
          <w:tcPr>
            <w:tcW w:w="1353"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441.6</w:t>
            </w:r>
          </w:p>
        </w:tc>
      </w:tr>
      <w:tr w:rsidR="00B8321C" w:rsidRPr="00B8321C" w:rsidTr="00B8321C">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1998</w:t>
            </w:r>
          </w:p>
        </w:tc>
        <w:tc>
          <w:tcPr>
            <w:tcW w:w="922"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Q1</w:t>
            </w:r>
          </w:p>
        </w:tc>
        <w:tc>
          <w:tcPr>
            <w:tcW w:w="921"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476.4</w:t>
            </w:r>
          </w:p>
        </w:tc>
        <w:tc>
          <w:tcPr>
            <w:tcW w:w="850"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lang w:eastAsia="en-IN"/>
              </w:rPr>
            </w:pPr>
            <w:r w:rsidRPr="00B8321C">
              <w:rPr>
                <w:rFonts w:ascii="Calibri" w:eastAsia="Times New Roman" w:hAnsi="Calibri" w:cs="Times New Roman"/>
                <w:lang w:eastAsia="en-IN"/>
              </w:rPr>
              <w:t>450.1</w:t>
            </w:r>
          </w:p>
        </w:tc>
        <w:tc>
          <w:tcPr>
            <w:tcW w:w="1006"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449.925</w:t>
            </w:r>
          </w:p>
        </w:tc>
        <w:tc>
          <w:tcPr>
            <w:tcW w:w="1092"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105.9%</w:t>
            </w:r>
          </w:p>
        </w:tc>
        <w:tc>
          <w:tcPr>
            <w:tcW w:w="991"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106.07%</w:t>
            </w:r>
          </w:p>
        </w:tc>
        <w:tc>
          <w:tcPr>
            <w:tcW w:w="1029"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103.9%</w:t>
            </w:r>
          </w:p>
        </w:tc>
        <w:tc>
          <w:tcPr>
            <w:tcW w:w="1353"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458.5</w:t>
            </w:r>
          </w:p>
        </w:tc>
      </w:tr>
      <w:tr w:rsidR="00B8321C" w:rsidRPr="00B8321C" w:rsidTr="00B8321C">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1998</w:t>
            </w:r>
          </w:p>
        </w:tc>
        <w:tc>
          <w:tcPr>
            <w:tcW w:w="922"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Q2</w:t>
            </w:r>
          </w:p>
        </w:tc>
        <w:tc>
          <w:tcPr>
            <w:tcW w:w="921"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454.4</w:t>
            </w:r>
          </w:p>
        </w:tc>
        <w:tc>
          <w:tcPr>
            <w:tcW w:w="850"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lang w:eastAsia="en-IN"/>
              </w:rPr>
            </w:pPr>
            <w:r w:rsidRPr="00B8321C">
              <w:rPr>
                <w:rFonts w:ascii="Calibri" w:eastAsia="Times New Roman" w:hAnsi="Calibri" w:cs="Times New Roman"/>
                <w:lang w:eastAsia="en-IN"/>
              </w:rPr>
              <w:t>481.58</w:t>
            </w:r>
          </w:p>
        </w:tc>
        <w:tc>
          <w:tcPr>
            <w:tcW w:w="1006"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463.6</w:t>
            </w:r>
          </w:p>
        </w:tc>
        <w:tc>
          <w:tcPr>
            <w:tcW w:w="1092"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98.0%</w:t>
            </w:r>
          </w:p>
        </w:tc>
        <w:tc>
          <w:tcPr>
            <w:tcW w:w="991"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99.22%</w:t>
            </w:r>
          </w:p>
        </w:tc>
        <w:tc>
          <w:tcPr>
            <w:tcW w:w="1029"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97.2%</w:t>
            </w:r>
          </w:p>
        </w:tc>
        <w:tc>
          <w:tcPr>
            <w:tcW w:w="1353"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467.5</w:t>
            </w:r>
          </w:p>
        </w:tc>
      </w:tr>
      <w:tr w:rsidR="00B8321C" w:rsidRPr="00B8321C" w:rsidTr="00B8321C">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1998</w:t>
            </w:r>
          </w:p>
        </w:tc>
        <w:tc>
          <w:tcPr>
            <w:tcW w:w="922"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Q3</w:t>
            </w:r>
          </w:p>
        </w:tc>
        <w:tc>
          <w:tcPr>
            <w:tcW w:w="921"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450.8</w:t>
            </w:r>
          </w:p>
        </w:tc>
        <w:tc>
          <w:tcPr>
            <w:tcW w:w="850"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lang w:eastAsia="en-IN"/>
              </w:rPr>
            </w:pPr>
            <w:r w:rsidRPr="00B8321C">
              <w:rPr>
                <w:rFonts w:ascii="Calibri" w:eastAsia="Times New Roman" w:hAnsi="Calibri" w:cs="Times New Roman"/>
                <w:lang w:eastAsia="en-IN"/>
              </w:rPr>
              <w:t>503.16</w:t>
            </w:r>
          </w:p>
        </w:tc>
        <w:tc>
          <w:tcPr>
            <w:tcW w:w="1006"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483.775</w:t>
            </w:r>
          </w:p>
        </w:tc>
        <w:tc>
          <w:tcPr>
            <w:tcW w:w="1092"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93.2%</w:t>
            </w:r>
          </w:p>
        </w:tc>
        <w:tc>
          <w:tcPr>
            <w:tcW w:w="991"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 </w:t>
            </w:r>
          </w:p>
        </w:tc>
        <w:tc>
          <w:tcPr>
            <w:tcW w:w="1029"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91.8%</w:t>
            </w:r>
          </w:p>
        </w:tc>
        <w:tc>
          <w:tcPr>
            <w:tcW w:w="1353"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490.9</w:t>
            </w:r>
          </w:p>
        </w:tc>
      </w:tr>
      <w:tr w:rsidR="00B8321C" w:rsidRPr="00B8321C" w:rsidTr="00B8321C">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1998</w:t>
            </w:r>
          </w:p>
        </w:tc>
        <w:tc>
          <w:tcPr>
            <w:tcW w:w="922"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Q4</w:t>
            </w:r>
          </w:p>
        </w:tc>
        <w:tc>
          <w:tcPr>
            <w:tcW w:w="921"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553.5</w:t>
            </w:r>
          </w:p>
        </w:tc>
        <w:tc>
          <w:tcPr>
            <w:tcW w:w="850"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lang w:eastAsia="en-IN"/>
              </w:rPr>
            </w:pPr>
            <w:r w:rsidRPr="00B8321C">
              <w:rPr>
                <w:rFonts w:ascii="Calibri" w:eastAsia="Times New Roman" w:hAnsi="Calibri" w:cs="Times New Roman"/>
                <w:lang w:eastAsia="en-IN"/>
              </w:rPr>
              <w:t>522.52</w:t>
            </w:r>
          </w:p>
        </w:tc>
        <w:tc>
          <w:tcPr>
            <w:tcW w:w="1006"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509.85</w:t>
            </w:r>
          </w:p>
        </w:tc>
        <w:tc>
          <w:tcPr>
            <w:tcW w:w="1092"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108.6%</w:t>
            </w:r>
          </w:p>
        </w:tc>
        <w:tc>
          <w:tcPr>
            <w:tcW w:w="991"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 </w:t>
            </w:r>
          </w:p>
        </w:tc>
        <w:tc>
          <w:tcPr>
            <w:tcW w:w="1029"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107.1%</w:t>
            </w:r>
          </w:p>
        </w:tc>
        <w:tc>
          <w:tcPr>
            <w:tcW w:w="1353"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517.0</w:t>
            </w:r>
          </w:p>
        </w:tc>
      </w:tr>
      <w:tr w:rsidR="00B8321C" w:rsidRPr="00B8321C" w:rsidTr="00B8321C">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1999</w:t>
            </w:r>
          </w:p>
        </w:tc>
        <w:tc>
          <w:tcPr>
            <w:tcW w:w="922"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Q1</w:t>
            </w:r>
          </w:p>
        </w:tc>
        <w:tc>
          <w:tcPr>
            <w:tcW w:w="921"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580.7</w:t>
            </w:r>
          </w:p>
        </w:tc>
        <w:tc>
          <w:tcPr>
            <w:tcW w:w="850"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lang w:eastAsia="en-IN"/>
              </w:rPr>
            </w:pPr>
            <w:r w:rsidRPr="00B8321C">
              <w:rPr>
                <w:rFonts w:ascii="Calibri" w:eastAsia="Times New Roman" w:hAnsi="Calibri" w:cs="Times New Roman"/>
                <w:lang w:eastAsia="en-IN"/>
              </w:rPr>
              <w:t>545.96</w:t>
            </w:r>
          </w:p>
        </w:tc>
        <w:tc>
          <w:tcPr>
            <w:tcW w:w="1006"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539.55</w:t>
            </w:r>
          </w:p>
        </w:tc>
        <w:tc>
          <w:tcPr>
            <w:tcW w:w="1092"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107.6%</w:t>
            </w:r>
          </w:p>
        </w:tc>
        <w:tc>
          <w:tcPr>
            <w:tcW w:w="991"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 </w:t>
            </w:r>
          </w:p>
        </w:tc>
        <w:tc>
          <w:tcPr>
            <w:tcW w:w="1029"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103.9%</w:t>
            </w:r>
          </w:p>
        </w:tc>
        <w:tc>
          <w:tcPr>
            <w:tcW w:w="1353"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558.9</w:t>
            </w:r>
          </w:p>
        </w:tc>
      </w:tr>
      <w:tr w:rsidR="00B8321C" w:rsidRPr="00B8321C" w:rsidTr="00B8321C">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1999</w:t>
            </w:r>
          </w:p>
        </w:tc>
        <w:tc>
          <w:tcPr>
            <w:tcW w:w="922"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Q2</w:t>
            </w:r>
          </w:p>
        </w:tc>
        <w:tc>
          <w:tcPr>
            <w:tcW w:w="921"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573.2</w:t>
            </w:r>
          </w:p>
        </w:tc>
        <w:tc>
          <w:tcPr>
            <w:tcW w:w="850"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lang w:eastAsia="en-IN"/>
              </w:rPr>
            </w:pPr>
            <w:r w:rsidRPr="00B8321C">
              <w:rPr>
                <w:rFonts w:ascii="Calibri" w:eastAsia="Times New Roman" w:hAnsi="Calibri" w:cs="Times New Roman"/>
                <w:lang w:eastAsia="en-IN"/>
              </w:rPr>
              <w:t>596.52</w:t>
            </w:r>
          </w:p>
        </w:tc>
        <w:tc>
          <w:tcPr>
            <w:tcW w:w="1006"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569.75</w:t>
            </w:r>
          </w:p>
        </w:tc>
        <w:tc>
          <w:tcPr>
            <w:tcW w:w="1092"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100.6%</w:t>
            </w:r>
          </w:p>
        </w:tc>
        <w:tc>
          <w:tcPr>
            <w:tcW w:w="991"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 </w:t>
            </w:r>
          </w:p>
        </w:tc>
        <w:tc>
          <w:tcPr>
            <w:tcW w:w="1029"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97.2%</w:t>
            </w:r>
          </w:p>
        </w:tc>
        <w:tc>
          <w:tcPr>
            <w:tcW w:w="1353"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589.7</w:t>
            </w:r>
          </w:p>
        </w:tc>
      </w:tr>
      <w:tr w:rsidR="00B8321C" w:rsidRPr="00B8321C" w:rsidTr="00B8321C">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1999</w:t>
            </w:r>
          </w:p>
        </w:tc>
        <w:tc>
          <w:tcPr>
            <w:tcW w:w="922"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Q3</w:t>
            </w:r>
          </w:p>
        </w:tc>
        <w:tc>
          <w:tcPr>
            <w:tcW w:w="921"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571.6</w:t>
            </w:r>
          </w:p>
        </w:tc>
        <w:tc>
          <w:tcPr>
            <w:tcW w:w="850"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lang w:eastAsia="en-IN"/>
              </w:rPr>
            </w:pPr>
            <w:r w:rsidRPr="00B8321C">
              <w:rPr>
                <w:rFonts w:ascii="Calibri" w:eastAsia="Times New Roman" w:hAnsi="Calibri" w:cs="Times New Roman"/>
                <w:lang w:eastAsia="en-IN"/>
              </w:rPr>
              <w:t>624.22</w:t>
            </w:r>
          </w:p>
        </w:tc>
        <w:tc>
          <w:tcPr>
            <w:tcW w:w="1006"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607.275</w:t>
            </w:r>
          </w:p>
        </w:tc>
        <w:tc>
          <w:tcPr>
            <w:tcW w:w="1092"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94.1%</w:t>
            </w:r>
          </w:p>
        </w:tc>
        <w:tc>
          <w:tcPr>
            <w:tcW w:w="991"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 </w:t>
            </w:r>
          </w:p>
        </w:tc>
        <w:tc>
          <w:tcPr>
            <w:tcW w:w="1029"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91.8%</w:t>
            </w:r>
          </w:p>
        </w:tc>
        <w:tc>
          <w:tcPr>
            <w:tcW w:w="1353"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622.4</w:t>
            </w:r>
          </w:p>
        </w:tc>
      </w:tr>
      <w:tr w:rsidR="00B8321C" w:rsidRPr="00B8321C" w:rsidTr="00B8321C">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1999</w:t>
            </w:r>
          </w:p>
        </w:tc>
        <w:tc>
          <w:tcPr>
            <w:tcW w:w="922"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Q4</w:t>
            </w:r>
          </w:p>
        </w:tc>
        <w:tc>
          <w:tcPr>
            <w:tcW w:w="921"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703.6</w:t>
            </w:r>
          </w:p>
        </w:tc>
        <w:tc>
          <w:tcPr>
            <w:tcW w:w="850"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lang w:eastAsia="en-IN"/>
              </w:rPr>
            </w:pPr>
            <w:r w:rsidRPr="00B8321C">
              <w:rPr>
                <w:rFonts w:ascii="Calibri" w:eastAsia="Times New Roman" w:hAnsi="Calibri" w:cs="Times New Roman"/>
                <w:lang w:eastAsia="en-IN"/>
              </w:rPr>
              <w:t>643.38</w:t>
            </w:r>
          </w:p>
        </w:tc>
        <w:tc>
          <w:tcPr>
            <w:tcW w:w="1006"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635.1</w:t>
            </w:r>
          </w:p>
        </w:tc>
        <w:tc>
          <w:tcPr>
            <w:tcW w:w="1092"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110.8%</w:t>
            </w:r>
          </w:p>
        </w:tc>
        <w:tc>
          <w:tcPr>
            <w:tcW w:w="991"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 </w:t>
            </w:r>
          </w:p>
        </w:tc>
        <w:tc>
          <w:tcPr>
            <w:tcW w:w="1029"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107.1%</w:t>
            </w:r>
          </w:p>
        </w:tc>
        <w:tc>
          <w:tcPr>
            <w:tcW w:w="1353"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657.2</w:t>
            </w:r>
          </w:p>
        </w:tc>
      </w:tr>
      <w:tr w:rsidR="00B8321C" w:rsidRPr="00B8321C" w:rsidTr="00B8321C">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2000</w:t>
            </w:r>
          </w:p>
        </w:tc>
        <w:tc>
          <w:tcPr>
            <w:tcW w:w="922"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Q1</w:t>
            </w:r>
          </w:p>
        </w:tc>
        <w:tc>
          <w:tcPr>
            <w:tcW w:w="921"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692</w:t>
            </w:r>
          </w:p>
        </w:tc>
        <w:tc>
          <w:tcPr>
            <w:tcW w:w="850"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lang w:eastAsia="en-IN"/>
              </w:rPr>
            </w:pPr>
            <w:r w:rsidRPr="00B8321C">
              <w:rPr>
                <w:rFonts w:ascii="Calibri" w:eastAsia="Times New Roman" w:hAnsi="Calibri" w:cs="Times New Roman"/>
                <w:lang w:eastAsia="en-IN"/>
              </w:rPr>
              <w:t>660.72</w:t>
            </w:r>
          </w:p>
        </w:tc>
        <w:tc>
          <w:tcPr>
            <w:tcW w:w="1006"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660.925</w:t>
            </w:r>
          </w:p>
        </w:tc>
        <w:tc>
          <w:tcPr>
            <w:tcW w:w="1092"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104.7%</w:t>
            </w:r>
          </w:p>
        </w:tc>
        <w:tc>
          <w:tcPr>
            <w:tcW w:w="991"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 </w:t>
            </w:r>
          </w:p>
        </w:tc>
        <w:tc>
          <w:tcPr>
            <w:tcW w:w="1029"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103.9%</w:t>
            </w:r>
          </w:p>
        </w:tc>
        <w:tc>
          <w:tcPr>
            <w:tcW w:w="1353"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666.0</w:t>
            </w:r>
          </w:p>
        </w:tc>
      </w:tr>
      <w:tr w:rsidR="00B8321C" w:rsidRPr="00B8321C" w:rsidTr="00B8321C">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2000</w:t>
            </w:r>
          </w:p>
        </w:tc>
        <w:tc>
          <w:tcPr>
            <w:tcW w:w="922"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Q2</w:t>
            </w:r>
          </w:p>
        </w:tc>
        <w:tc>
          <w:tcPr>
            <w:tcW w:w="921"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676.5</w:t>
            </w:r>
          </w:p>
        </w:tc>
        <w:tc>
          <w:tcPr>
            <w:tcW w:w="850"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lang w:eastAsia="en-IN"/>
              </w:rPr>
            </w:pPr>
            <w:r w:rsidRPr="00B8321C">
              <w:rPr>
                <w:rFonts w:ascii="Calibri" w:eastAsia="Times New Roman" w:hAnsi="Calibri" w:cs="Times New Roman"/>
                <w:lang w:eastAsia="en-IN"/>
              </w:rPr>
              <w:t>696.96</w:t>
            </w:r>
          </w:p>
        </w:tc>
        <w:tc>
          <w:tcPr>
            <w:tcW w:w="1006"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683</w:t>
            </w:r>
          </w:p>
        </w:tc>
        <w:tc>
          <w:tcPr>
            <w:tcW w:w="1092"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99.0%</w:t>
            </w:r>
          </w:p>
        </w:tc>
        <w:tc>
          <w:tcPr>
            <w:tcW w:w="991"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 </w:t>
            </w:r>
          </w:p>
        </w:tc>
        <w:tc>
          <w:tcPr>
            <w:tcW w:w="1029"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97.2%</w:t>
            </w:r>
          </w:p>
        </w:tc>
        <w:tc>
          <w:tcPr>
            <w:tcW w:w="1353"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696.0</w:t>
            </w:r>
          </w:p>
        </w:tc>
      </w:tr>
      <w:tr w:rsidR="00B8321C" w:rsidRPr="00B8321C" w:rsidTr="00B8321C">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2000</w:t>
            </w:r>
          </w:p>
        </w:tc>
        <w:tc>
          <w:tcPr>
            <w:tcW w:w="922"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Q3</w:t>
            </w:r>
          </w:p>
        </w:tc>
        <w:tc>
          <w:tcPr>
            <w:tcW w:w="921"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659.9</w:t>
            </w:r>
          </w:p>
        </w:tc>
        <w:tc>
          <w:tcPr>
            <w:tcW w:w="850"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rPr>
                <w:rFonts w:ascii="Calibri" w:eastAsia="Times New Roman" w:hAnsi="Calibri" w:cs="Times New Roman"/>
                <w:lang w:eastAsia="en-IN"/>
              </w:rPr>
            </w:pPr>
            <w:r w:rsidRPr="00B8321C">
              <w:rPr>
                <w:rFonts w:ascii="Calibri" w:eastAsia="Times New Roman" w:hAnsi="Calibri" w:cs="Times New Roman"/>
                <w:lang w:eastAsia="en-IN"/>
              </w:rPr>
              <w:t> </w:t>
            </w:r>
          </w:p>
        </w:tc>
        <w:tc>
          <w:tcPr>
            <w:tcW w:w="1006"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695.3</w:t>
            </w:r>
          </w:p>
        </w:tc>
        <w:tc>
          <w:tcPr>
            <w:tcW w:w="1092"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95%</w:t>
            </w:r>
          </w:p>
        </w:tc>
        <w:tc>
          <w:tcPr>
            <w:tcW w:w="991"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 </w:t>
            </w:r>
          </w:p>
        </w:tc>
        <w:tc>
          <w:tcPr>
            <w:tcW w:w="1029"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91.8%</w:t>
            </w:r>
          </w:p>
        </w:tc>
        <w:tc>
          <w:tcPr>
            <w:tcW w:w="1353"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718.6</w:t>
            </w:r>
          </w:p>
        </w:tc>
      </w:tr>
      <w:tr w:rsidR="00B8321C" w:rsidRPr="00B8321C" w:rsidTr="00B8321C">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2000</w:t>
            </w:r>
          </w:p>
        </w:tc>
        <w:tc>
          <w:tcPr>
            <w:tcW w:w="922"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Q4</w:t>
            </w:r>
          </w:p>
        </w:tc>
        <w:tc>
          <w:tcPr>
            <w:tcW w:w="921"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752.8</w:t>
            </w:r>
          </w:p>
        </w:tc>
        <w:tc>
          <w:tcPr>
            <w:tcW w:w="850"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 </w:t>
            </w:r>
          </w:p>
        </w:tc>
        <w:tc>
          <w:tcPr>
            <w:tcW w:w="1006"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 </w:t>
            </w:r>
          </w:p>
        </w:tc>
        <w:tc>
          <w:tcPr>
            <w:tcW w:w="1092"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 </w:t>
            </w:r>
          </w:p>
        </w:tc>
        <w:tc>
          <w:tcPr>
            <w:tcW w:w="991"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 </w:t>
            </w:r>
          </w:p>
        </w:tc>
        <w:tc>
          <w:tcPr>
            <w:tcW w:w="1029"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BFBFBF" w:themeColor="background1" w:themeShade="BF"/>
                <w:lang w:eastAsia="en-IN"/>
              </w:rPr>
            </w:pPr>
            <w:r w:rsidRPr="00B8321C">
              <w:rPr>
                <w:rFonts w:ascii="Calibri" w:eastAsia="Times New Roman" w:hAnsi="Calibri" w:cs="Times New Roman"/>
                <w:color w:val="BFBFBF" w:themeColor="background1" w:themeShade="BF"/>
                <w:lang w:eastAsia="en-IN"/>
              </w:rPr>
              <w:t>107.1%</w:t>
            </w:r>
          </w:p>
        </w:tc>
        <w:tc>
          <w:tcPr>
            <w:tcW w:w="1353" w:type="dxa"/>
            <w:tcBorders>
              <w:top w:val="nil"/>
              <w:left w:val="nil"/>
              <w:bottom w:val="single" w:sz="4" w:space="0" w:color="auto"/>
              <w:right w:val="single" w:sz="4" w:space="0" w:color="auto"/>
            </w:tcBorders>
            <w:shd w:val="clear" w:color="auto" w:fill="auto"/>
            <w:noWrap/>
            <w:vAlign w:val="bottom"/>
            <w:hideMark/>
          </w:tcPr>
          <w:p w:rsidR="00B8321C" w:rsidRPr="00B8321C" w:rsidRDefault="00B8321C" w:rsidP="00B8321C">
            <w:pPr>
              <w:spacing w:after="0" w:line="240" w:lineRule="auto"/>
              <w:jc w:val="right"/>
              <w:rPr>
                <w:rFonts w:ascii="Calibri" w:eastAsia="Times New Roman" w:hAnsi="Calibri" w:cs="Times New Roman"/>
                <w:color w:val="000000"/>
                <w:lang w:eastAsia="en-IN"/>
              </w:rPr>
            </w:pPr>
            <w:r w:rsidRPr="00B8321C">
              <w:rPr>
                <w:rFonts w:ascii="Calibri" w:eastAsia="Times New Roman" w:hAnsi="Calibri" w:cs="Times New Roman"/>
                <w:color w:val="000000"/>
                <w:lang w:eastAsia="en-IN"/>
              </w:rPr>
              <w:t>703.2</w:t>
            </w:r>
          </w:p>
        </w:tc>
      </w:tr>
    </w:tbl>
    <w:p w:rsidR="005F3FD5" w:rsidRDefault="005F3FD5" w:rsidP="005F3FD5">
      <w:pPr>
        <w:tabs>
          <w:tab w:val="left" w:pos="851"/>
        </w:tabs>
        <w:ind w:left="851" w:hanging="851"/>
        <w:jc w:val="both"/>
        <w:rPr>
          <w:rFonts w:eastAsiaTheme="minorEastAsia"/>
        </w:rPr>
      </w:pPr>
    </w:p>
    <w:p w:rsidR="00660E52" w:rsidRDefault="00660E52" w:rsidP="005F3FD5">
      <w:pPr>
        <w:tabs>
          <w:tab w:val="left" w:pos="851"/>
        </w:tabs>
        <w:ind w:left="851" w:hanging="851"/>
        <w:jc w:val="both"/>
        <w:rPr>
          <w:rFonts w:eastAsiaTheme="minorEastAsia"/>
        </w:rPr>
      </w:pPr>
      <w:r>
        <w:rPr>
          <w:rFonts w:eastAsiaTheme="minorEastAsia"/>
        </w:rPr>
        <w:tab/>
        <w:t>The original series, the trend line and the de-</w:t>
      </w:r>
      <w:proofErr w:type="spellStart"/>
      <w:r>
        <w:rPr>
          <w:rFonts w:eastAsiaTheme="minorEastAsia"/>
        </w:rPr>
        <w:t>seasonalised</w:t>
      </w:r>
      <w:proofErr w:type="spellEnd"/>
      <w:r>
        <w:rPr>
          <w:rFonts w:eastAsiaTheme="minorEastAsia"/>
        </w:rPr>
        <w:t xml:space="preserve"> series are plotted below.</w:t>
      </w:r>
    </w:p>
    <w:p w:rsidR="00660E52" w:rsidRDefault="00660E52" w:rsidP="005F3FD5">
      <w:pPr>
        <w:tabs>
          <w:tab w:val="left" w:pos="851"/>
        </w:tabs>
        <w:ind w:left="851" w:hanging="851"/>
        <w:jc w:val="both"/>
        <w:rPr>
          <w:rFonts w:eastAsiaTheme="minorEastAsia"/>
        </w:rPr>
      </w:pPr>
      <w:r>
        <w:rPr>
          <w:rFonts w:eastAsiaTheme="minorEastAsia"/>
        </w:rPr>
        <w:tab/>
      </w:r>
      <w:r w:rsidR="00B8321C" w:rsidRPr="00B8321C">
        <w:rPr>
          <w:rFonts w:eastAsiaTheme="minorEastAsia"/>
          <w:noProof/>
          <w:lang w:eastAsia="en-IN"/>
        </w:rPr>
        <w:drawing>
          <wp:inline distT="0" distB="0" distL="0" distR="0">
            <wp:extent cx="5182342" cy="2743200"/>
            <wp:effectExtent l="19050" t="0" r="18308"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66F82" w:rsidRDefault="00A66F82">
      <w:pPr>
        <w:rPr>
          <w:rFonts w:eastAsiaTheme="minorEastAsia"/>
        </w:rPr>
      </w:pPr>
      <w:r>
        <w:rPr>
          <w:rFonts w:eastAsiaTheme="minorEastAsia"/>
        </w:rPr>
        <w:br w:type="page"/>
      </w:r>
    </w:p>
    <w:p w:rsidR="00660E52" w:rsidRDefault="00A66F82" w:rsidP="005F3FD5">
      <w:pPr>
        <w:tabs>
          <w:tab w:val="left" w:pos="851"/>
        </w:tabs>
        <w:ind w:left="851" w:hanging="851"/>
        <w:jc w:val="both"/>
        <w:rPr>
          <w:rFonts w:eastAsiaTheme="minorEastAsia"/>
        </w:rPr>
      </w:pPr>
      <w:r>
        <w:rPr>
          <w:rFonts w:eastAsiaTheme="minorEastAsia"/>
        </w:rPr>
        <w:lastRenderedPageBreak/>
        <w:t>6.</w:t>
      </w:r>
      <w:r>
        <w:rPr>
          <w:rFonts w:eastAsiaTheme="minorEastAsia"/>
        </w:rPr>
        <w:tab/>
      </w:r>
      <w:r w:rsidR="00433967">
        <w:rPr>
          <w:rFonts w:eastAsiaTheme="minorEastAsia"/>
        </w:rPr>
        <w:t>(</w:t>
      </w:r>
      <w:proofErr w:type="gramStart"/>
      <w:r w:rsidR="00433967">
        <w:rPr>
          <w:rFonts w:eastAsiaTheme="minorEastAsia"/>
        </w:rPr>
        <w:t>a</w:t>
      </w:r>
      <w:proofErr w:type="gramEnd"/>
      <w:r w:rsidR="00433967">
        <w:rPr>
          <w:rFonts w:eastAsiaTheme="minorEastAsia"/>
        </w:rPr>
        <w:t>)</w:t>
      </w:r>
      <w:r w:rsidR="00433967">
        <w:rPr>
          <w:rFonts w:eastAsiaTheme="minorEastAsia"/>
        </w:rPr>
        <w:tab/>
        <w:t>The plot of the time series is given below.</w:t>
      </w:r>
    </w:p>
    <w:p w:rsidR="00433967" w:rsidRDefault="00433967" w:rsidP="005F3FD5">
      <w:pPr>
        <w:tabs>
          <w:tab w:val="left" w:pos="851"/>
        </w:tabs>
        <w:ind w:left="851" w:hanging="851"/>
        <w:jc w:val="both"/>
        <w:rPr>
          <w:rFonts w:eastAsiaTheme="minorEastAsia"/>
        </w:rPr>
      </w:pPr>
      <w:r>
        <w:rPr>
          <w:rFonts w:eastAsiaTheme="minorEastAsia"/>
        </w:rPr>
        <w:tab/>
      </w:r>
      <w:r>
        <w:rPr>
          <w:rFonts w:eastAsiaTheme="minorEastAsia"/>
        </w:rPr>
        <w:tab/>
      </w:r>
      <w:r w:rsidRPr="00433967">
        <w:rPr>
          <w:rFonts w:eastAsiaTheme="minorEastAsia"/>
          <w:noProof/>
          <w:lang w:eastAsia="en-IN"/>
        </w:rPr>
        <w:drawing>
          <wp:inline distT="0" distB="0" distL="0" distR="0">
            <wp:extent cx="4572000" cy="2743200"/>
            <wp:effectExtent l="19050" t="0" r="190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33967" w:rsidRDefault="00433967" w:rsidP="00433967">
      <w:pPr>
        <w:ind w:left="1418"/>
        <w:jc w:val="both"/>
        <w:rPr>
          <w:rFonts w:eastAsiaTheme="minorEastAsia"/>
        </w:rPr>
      </w:pPr>
      <w:r>
        <w:rPr>
          <w:rFonts w:eastAsiaTheme="minorEastAsia"/>
        </w:rPr>
        <w:tab/>
        <w:t>There appears to be a weakly rising trend, a seasonal (quarterly) component and some random fluctuations. Presence of any cyclic component is not obvious from the plot.</w:t>
      </w:r>
    </w:p>
    <w:p w:rsidR="00433967" w:rsidRDefault="00433967" w:rsidP="00433967">
      <w:pPr>
        <w:ind w:left="1418" w:hanging="567"/>
        <w:jc w:val="both"/>
        <w:rPr>
          <w:rFonts w:eastAsiaTheme="minorEastAsia"/>
        </w:rPr>
      </w:pPr>
      <w:r>
        <w:rPr>
          <w:rFonts w:eastAsiaTheme="minorEastAsia"/>
        </w:rPr>
        <w:t>(b)</w:t>
      </w:r>
      <w:r>
        <w:rPr>
          <w:rFonts w:eastAsiaTheme="minorEastAsia"/>
        </w:rPr>
        <w:tab/>
      </w:r>
      <w:r w:rsidR="008E0650">
        <w:rPr>
          <w:rFonts w:eastAsiaTheme="minorEastAsia"/>
        </w:rPr>
        <w:t>The fitted line is</w:t>
      </w:r>
    </w:p>
    <w:p w:rsidR="008E0650" w:rsidRDefault="008E0650" w:rsidP="00433967">
      <w:pPr>
        <w:ind w:left="1418" w:hanging="567"/>
        <w:jc w:val="both"/>
        <w:rPr>
          <w:rFonts w:eastAsiaTheme="minorEastAsia"/>
        </w:rPr>
      </w:pPr>
      <w:r>
        <w:rPr>
          <w:rFonts w:eastAsiaTheme="minorEastAsia"/>
        </w:rPr>
        <w:tab/>
      </w:r>
      <m:oMath>
        <m:r>
          <w:rPr>
            <w:rFonts w:ascii="Cambria Math" w:eastAsiaTheme="minorEastAsia" w:hAnsi="Cambria Math"/>
          </w:rPr>
          <m:t>y=-7797.63+4x</m:t>
        </m:r>
      </m:oMath>
      <w:r>
        <w:rPr>
          <w:rFonts w:eastAsiaTheme="minorEastAsia"/>
        </w:rPr>
        <w:t>,</w:t>
      </w:r>
    </w:p>
    <w:p w:rsidR="006937AF" w:rsidRPr="00B47E22" w:rsidRDefault="008E0650" w:rsidP="00433967">
      <w:pPr>
        <w:ind w:left="1418" w:hanging="567"/>
        <w:jc w:val="both"/>
        <w:rPr>
          <w:rFonts w:eastAsiaTheme="minorEastAsia"/>
        </w:rPr>
      </w:pPr>
      <w:r>
        <w:rPr>
          <w:rFonts w:eastAsiaTheme="minorEastAsia"/>
        </w:rPr>
        <w:tab/>
      </w:r>
      <w:proofErr w:type="gramStart"/>
      <w:r>
        <w:rPr>
          <w:rFonts w:eastAsiaTheme="minorEastAsia"/>
        </w:rPr>
        <w:t>where</w:t>
      </w:r>
      <w:proofErr w:type="gramEnd"/>
      <w:r>
        <w:rPr>
          <w:rFonts w:eastAsiaTheme="minorEastAsia"/>
        </w:rPr>
        <w:t xml:space="preserve"> </w:t>
      </w:r>
      <m:oMath>
        <m:r>
          <w:rPr>
            <w:rFonts w:ascii="Cambria Math" w:eastAsiaTheme="minorEastAsia" w:hAnsi="Cambria Math"/>
          </w:rPr>
          <m:t>y</m:t>
        </m:r>
      </m:oMath>
      <w:r>
        <w:rPr>
          <w:rFonts w:eastAsiaTheme="minorEastAsia"/>
        </w:rPr>
        <w:t xml:space="preserve"> is </w:t>
      </w:r>
      <w:r w:rsidR="00E941C4">
        <w:rPr>
          <w:rFonts w:eastAsiaTheme="minorEastAsia"/>
        </w:rPr>
        <w:t xml:space="preserve">the number of new clients and </w:t>
      </w:r>
      <m:oMath>
        <m:r>
          <w:rPr>
            <w:rFonts w:ascii="Cambria Math" w:eastAsiaTheme="minorEastAsia" w:hAnsi="Cambria Math"/>
          </w:rPr>
          <m:t>x</m:t>
        </m:r>
      </m:oMath>
      <w:r w:rsidR="00E941C4">
        <w:rPr>
          <w:rFonts w:eastAsiaTheme="minorEastAsia"/>
        </w:rPr>
        <w:t xml:space="preserve"> is the time </w:t>
      </w:r>
      <w:r w:rsidR="00973B2F">
        <w:rPr>
          <w:rFonts w:eastAsiaTheme="minorEastAsia"/>
        </w:rPr>
        <w:t xml:space="preserve">(2006 Q1 is 2006, 2006 Q2 is 2006.25, etc.). The resulting forecasts for the four quarters of 2009, the corresponding actual number of new clients, the </w:t>
      </w:r>
      <w:r w:rsidR="006937AF">
        <w:rPr>
          <w:rFonts w:eastAsiaTheme="minorEastAsia"/>
        </w:rPr>
        <w:t>absolute forecast error and the squared forecast error are reported below.</w:t>
      </w:r>
    </w:p>
    <w:tbl>
      <w:tblPr>
        <w:tblStyle w:val="TableGrid"/>
        <w:tblW w:w="7099" w:type="dxa"/>
        <w:tblInd w:w="1526" w:type="dxa"/>
        <w:tblLook w:val="04A0"/>
      </w:tblPr>
      <w:tblGrid>
        <w:gridCol w:w="567"/>
        <w:gridCol w:w="1565"/>
        <w:gridCol w:w="1837"/>
        <w:gridCol w:w="1565"/>
        <w:gridCol w:w="1565"/>
      </w:tblGrid>
      <w:tr w:rsidR="006937AF" w:rsidTr="006937AF">
        <w:tc>
          <w:tcPr>
            <w:tcW w:w="567" w:type="dxa"/>
            <w:vAlign w:val="bottom"/>
          </w:tcPr>
          <w:p w:rsidR="006937AF" w:rsidRDefault="006937AF">
            <w:pPr>
              <w:rPr>
                <w:rFonts w:ascii="Calibri" w:hAnsi="Calibri"/>
                <w:color w:val="000000"/>
              </w:rPr>
            </w:pPr>
            <w:r>
              <w:rPr>
                <w:rFonts w:ascii="Calibri" w:hAnsi="Calibri"/>
                <w:color w:val="000000"/>
              </w:rPr>
              <w:t> </w:t>
            </w:r>
          </w:p>
        </w:tc>
        <w:tc>
          <w:tcPr>
            <w:tcW w:w="1565" w:type="dxa"/>
            <w:vAlign w:val="bottom"/>
          </w:tcPr>
          <w:p w:rsidR="006937AF" w:rsidRDefault="006937AF" w:rsidP="006937AF">
            <w:pPr>
              <w:jc w:val="center"/>
              <w:rPr>
                <w:rFonts w:ascii="Calibri" w:hAnsi="Calibri"/>
                <w:color w:val="000000"/>
              </w:rPr>
            </w:pPr>
            <w:r>
              <w:rPr>
                <w:rFonts w:ascii="Calibri" w:hAnsi="Calibri"/>
                <w:color w:val="000000"/>
              </w:rPr>
              <w:t>Actual number of new clients</w:t>
            </w:r>
          </w:p>
        </w:tc>
        <w:tc>
          <w:tcPr>
            <w:tcW w:w="1837" w:type="dxa"/>
            <w:vAlign w:val="bottom"/>
          </w:tcPr>
          <w:p w:rsidR="006937AF" w:rsidRDefault="006937AF" w:rsidP="006937AF">
            <w:pPr>
              <w:jc w:val="center"/>
              <w:rPr>
                <w:rFonts w:ascii="Calibri" w:hAnsi="Calibri"/>
                <w:color w:val="000000"/>
              </w:rPr>
            </w:pPr>
            <w:r>
              <w:rPr>
                <w:rFonts w:ascii="Calibri" w:hAnsi="Calibri"/>
                <w:color w:val="000000"/>
              </w:rPr>
              <w:t>Forecast number of new clients</w:t>
            </w:r>
          </w:p>
        </w:tc>
        <w:tc>
          <w:tcPr>
            <w:tcW w:w="1565" w:type="dxa"/>
            <w:vAlign w:val="bottom"/>
          </w:tcPr>
          <w:p w:rsidR="006937AF" w:rsidRDefault="006937AF" w:rsidP="006937AF">
            <w:pPr>
              <w:jc w:val="center"/>
              <w:rPr>
                <w:rFonts w:ascii="Calibri" w:hAnsi="Calibri"/>
                <w:color w:val="000000"/>
              </w:rPr>
            </w:pPr>
            <w:r>
              <w:rPr>
                <w:rFonts w:ascii="Calibri" w:hAnsi="Calibri"/>
                <w:color w:val="000000"/>
              </w:rPr>
              <w:t>Absolute forecast error</w:t>
            </w:r>
          </w:p>
        </w:tc>
        <w:tc>
          <w:tcPr>
            <w:tcW w:w="1565" w:type="dxa"/>
            <w:vAlign w:val="bottom"/>
          </w:tcPr>
          <w:p w:rsidR="006937AF" w:rsidRDefault="006937AF" w:rsidP="006937AF">
            <w:pPr>
              <w:jc w:val="center"/>
              <w:rPr>
                <w:rFonts w:ascii="Calibri" w:hAnsi="Calibri"/>
                <w:color w:val="000000"/>
              </w:rPr>
            </w:pPr>
            <w:r>
              <w:rPr>
                <w:rFonts w:ascii="Calibri" w:hAnsi="Calibri"/>
                <w:color w:val="000000"/>
              </w:rPr>
              <w:t>Squared forecast error</w:t>
            </w:r>
          </w:p>
        </w:tc>
      </w:tr>
      <w:tr w:rsidR="008800FE" w:rsidTr="000727FC">
        <w:tc>
          <w:tcPr>
            <w:tcW w:w="567" w:type="dxa"/>
            <w:vAlign w:val="bottom"/>
          </w:tcPr>
          <w:p w:rsidR="008800FE" w:rsidRDefault="008800FE" w:rsidP="00CF3C27">
            <w:pPr>
              <w:jc w:val="center"/>
              <w:rPr>
                <w:rFonts w:ascii="Calibri" w:hAnsi="Calibri"/>
                <w:color w:val="000000"/>
              </w:rPr>
            </w:pPr>
            <w:r>
              <w:rPr>
                <w:rFonts w:ascii="Calibri" w:hAnsi="Calibri"/>
                <w:color w:val="000000"/>
              </w:rPr>
              <w:t>Q1</w:t>
            </w:r>
          </w:p>
        </w:tc>
        <w:tc>
          <w:tcPr>
            <w:tcW w:w="1565" w:type="dxa"/>
            <w:vAlign w:val="bottom"/>
          </w:tcPr>
          <w:p w:rsidR="008800FE" w:rsidRDefault="008800FE" w:rsidP="00CF3C27">
            <w:pPr>
              <w:jc w:val="center"/>
              <w:rPr>
                <w:rFonts w:ascii="Calibri" w:hAnsi="Calibri"/>
                <w:color w:val="000000"/>
              </w:rPr>
            </w:pPr>
            <w:r>
              <w:rPr>
                <w:rFonts w:ascii="Calibri" w:hAnsi="Calibri"/>
                <w:color w:val="000000"/>
              </w:rPr>
              <w:t>218</w:t>
            </w:r>
          </w:p>
        </w:tc>
        <w:tc>
          <w:tcPr>
            <w:tcW w:w="1837" w:type="dxa"/>
          </w:tcPr>
          <w:p w:rsidR="008800FE" w:rsidRPr="00034C84" w:rsidRDefault="008800FE" w:rsidP="00CF3C27">
            <w:pPr>
              <w:jc w:val="center"/>
            </w:pPr>
            <w:r w:rsidRPr="00034C84">
              <w:t>250.92</w:t>
            </w:r>
          </w:p>
        </w:tc>
        <w:tc>
          <w:tcPr>
            <w:tcW w:w="1565" w:type="dxa"/>
          </w:tcPr>
          <w:p w:rsidR="008800FE" w:rsidRPr="00034C84" w:rsidRDefault="008800FE" w:rsidP="00CF3C27">
            <w:pPr>
              <w:jc w:val="center"/>
            </w:pPr>
            <w:r w:rsidRPr="00034C84">
              <w:t>32.92</w:t>
            </w:r>
          </w:p>
        </w:tc>
        <w:tc>
          <w:tcPr>
            <w:tcW w:w="1565" w:type="dxa"/>
          </w:tcPr>
          <w:p w:rsidR="008800FE" w:rsidRPr="00034C84" w:rsidRDefault="008800FE" w:rsidP="00CF3C27">
            <w:pPr>
              <w:jc w:val="center"/>
            </w:pPr>
            <w:r w:rsidRPr="00034C84">
              <w:t>1084.01</w:t>
            </w:r>
          </w:p>
        </w:tc>
      </w:tr>
      <w:tr w:rsidR="008800FE" w:rsidTr="000727FC">
        <w:tc>
          <w:tcPr>
            <w:tcW w:w="567" w:type="dxa"/>
            <w:vAlign w:val="bottom"/>
          </w:tcPr>
          <w:p w:rsidR="008800FE" w:rsidRDefault="008800FE" w:rsidP="00CF3C27">
            <w:pPr>
              <w:jc w:val="center"/>
              <w:rPr>
                <w:rFonts w:ascii="Calibri" w:hAnsi="Calibri"/>
                <w:color w:val="000000"/>
              </w:rPr>
            </w:pPr>
            <w:r>
              <w:rPr>
                <w:rFonts w:ascii="Calibri" w:hAnsi="Calibri"/>
                <w:color w:val="000000"/>
              </w:rPr>
              <w:t>Q2</w:t>
            </w:r>
          </w:p>
        </w:tc>
        <w:tc>
          <w:tcPr>
            <w:tcW w:w="1565" w:type="dxa"/>
            <w:vAlign w:val="bottom"/>
          </w:tcPr>
          <w:p w:rsidR="008800FE" w:rsidRDefault="008800FE" w:rsidP="00CF3C27">
            <w:pPr>
              <w:jc w:val="center"/>
              <w:rPr>
                <w:rFonts w:ascii="Calibri" w:hAnsi="Calibri"/>
                <w:color w:val="000000"/>
              </w:rPr>
            </w:pPr>
            <w:r>
              <w:rPr>
                <w:rFonts w:ascii="Calibri" w:hAnsi="Calibri"/>
                <w:color w:val="000000"/>
              </w:rPr>
              <w:t>241</w:t>
            </w:r>
          </w:p>
        </w:tc>
        <w:tc>
          <w:tcPr>
            <w:tcW w:w="1837" w:type="dxa"/>
          </w:tcPr>
          <w:p w:rsidR="008800FE" w:rsidRPr="00034C84" w:rsidRDefault="008800FE" w:rsidP="00CF3C27">
            <w:pPr>
              <w:jc w:val="center"/>
            </w:pPr>
            <w:r w:rsidRPr="00034C84">
              <w:t>253.48</w:t>
            </w:r>
          </w:p>
        </w:tc>
        <w:tc>
          <w:tcPr>
            <w:tcW w:w="1565" w:type="dxa"/>
          </w:tcPr>
          <w:p w:rsidR="008800FE" w:rsidRPr="00034C84" w:rsidRDefault="008800FE" w:rsidP="00CF3C27">
            <w:pPr>
              <w:jc w:val="center"/>
            </w:pPr>
            <w:r w:rsidRPr="00034C84">
              <w:t>12.48</w:t>
            </w:r>
          </w:p>
        </w:tc>
        <w:tc>
          <w:tcPr>
            <w:tcW w:w="1565" w:type="dxa"/>
          </w:tcPr>
          <w:p w:rsidR="008800FE" w:rsidRPr="00034C84" w:rsidRDefault="008800FE" w:rsidP="00CF3C27">
            <w:pPr>
              <w:jc w:val="center"/>
            </w:pPr>
            <w:r w:rsidRPr="00034C84">
              <w:t>155.67</w:t>
            </w:r>
          </w:p>
        </w:tc>
      </w:tr>
      <w:tr w:rsidR="008800FE" w:rsidTr="000727FC">
        <w:tc>
          <w:tcPr>
            <w:tcW w:w="567" w:type="dxa"/>
            <w:vAlign w:val="bottom"/>
          </w:tcPr>
          <w:p w:rsidR="008800FE" w:rsidRDefault="008800FE" w:rsidP="00CF3C27">
            <w:pPr>
              <w:jc w:val="center"/>
              <w:rPr>
                <w:rFonts w:ascii="Calibri" w:hAnsi="Calibri"/>
                <w:color w:val="000000"/>
              </w:rPr>
            </w:pPr>
            <w:r>
              <w:rPr>
                <w:rFonts w:ascii="Calibri" w:hAnsi="Calibri"/>
                <w:color w:val="000000"/>
              </w:rPr>
              <w:t>Q3</w:t>
            </w:r>
          </w:p>
        </w:tc>
        <w:tc>
          <w:tcPr>
            <w:tcW w:w="1565" w:type="dxa"/>
            <w:vAlign w:val="bottom"/>
          </w:tcPr>
          <w:p w:rsidR="008800FE" w:rsidRDefault="008800FE" w:rsidP="00CF3C27">
            <w:pPr>
              <w:jc w:val="center"/>
              <w:rPr>
                <w:rFonts w:ascii="Calibri" w:hAnsi="Calibri"/>
                <w:color w:val="000000"/>
              </w:rPr>
            </w:pPr>
            <w:r>
              <w:rPr>
                <w:rFonts w:ascii="Calibri" w:hAnsi="Calibri"/>
                <w:color w:val="000000"/>
              </w:rPr>
              <w:t>240</w:t>
            </w:r>
          </w:p>
        </w:tc>
        <w:tc>
          <w:tcPr>
            <w:tcW w:w="1837" w:type="dxa"/>
          </w:tcPr>
          <w:p w:rsidR="008800FE" w:rsidRPr="00034C84" w:rsidRDefault="008800FE" w:rsidP="00CF3C27">
            <w:pPr>
              <w:jc w:val="center"/>
            </w:pPr>
            <w:r w:rsidRPr="00034C84">
              <w:t>256.03</w:t>
            </w:r>
          </w:p>
        </w:tc>
        <w:tc>
          <w:tcPr>
            <w:tcW w:w="1565" w:type="dxa"/>
          </w:tcPr>
          <w:p w:rsidR="008800FE" w:rsidRPr="00034C84" w:rsidRDefault="008800FE" w:rsidP="00CF3C27">
            <w:pPr>
              <w:jc w:val="center"/>
            </w:pPr>
            <w:r w:rsidRPr="00034C84">
              <w:t>16.03</w:t>
            </w:r>
          </w:p>
        </w:tc>
        <w:tc>
          <w:tcPr>
            <w:tcW w:w="1565" w:type="dxa"/>
          </w:tcPr>
          <w:p w:rsidR="008800FE" w:rsidRPr="00034C84" w:rsidRDefault="008800FE" w:rsidP="00CF3C27">
            <w:pPr>
              <w:jc w:val="center"/>
            </w:pPr>
            <w:r w:rsidRPr="00034C84">
              <w:t>256.93</w:t>
            </w:r>
          </w:p>
        </w:tc>
      </w:tr>
      <w:tr w:rsidR="008800FE" w:rsidTr="000727FC">
        <w:tc>
          <w:tcPr>
            <w:tcW w:w="567" w:type="dxa"/>
            <w:vAlign w:val="bottom"/>
          </w:tcPr>
          <w:p w:rsidR="008800FE" w:rsidRDefault="008800FE" w:rsidP="00CF3C27">
            <w:pPr>
              <w:jc w:val="center"/>
              <w:rPr>
                <w:rFonts w:ascii="Calibri" w:hAnsi="Calibri"/>
                <w:color w:val="000000"/>
              </w:rPr>
            </w:pPr>
            <w:r>
              <w:rPr>
                <w:rFonts w:ascii="Calibri" w:hAnsi="Calibri"/>
                <w:color w:val="000000"/>
              </w:rPr>
              <w:t>Q4</w:t>
            </w:r>
          </w:p>
        </w:tc>
        <w:tc>
          <w:tcPr>
            <w:tcW w:w="1565" w:type="dxa"/>
            <w:vAlign w:val="bottom"/>
          </w:tcPr>
          <w:p w:rsidR="008800FE" w:rsidRDefault="008800FE" w:rsidP="00CF3C27">
            <w:pPr>
              <w:jc w:val="center"/>
              <w:rPr>
                <w:rFonts w:ascii="Calibri" w:hAnsi="Calibri"/>
                <w:color w:val="000000"/>
              </w:rPr>
            </w:pPr>
            <w:r>
              <w:rPr>
                <w:rFonts w:ascii="Calibri" w:hAnsi="Calibri"/>
                <w:color w:val="000000"/>
              </w:rPr>
              <w:t>231</w:t>
            </w:r>
          </w:p>
        </w:tc>
        <w:tc>
          <w:tcPr>
            <w:tcW w:w="1837" w:type="dxa"/>
          </w:tcPr>
          <w:p w:rsidR="008800FE" w:rsidRPr="00034C84" w:rsidRDefault="008800FE" w:rsidP="00CF3C27">
            <w:pPr>
              <w:jc w:val="center"/>
            </w:pPr>
            <w:r w:rsidRPr="00034C84">
              <w:t>258.58</w:t>
            </w:r>
          </w:p>
        </w:tc>
        <w:tc>
          <w:tcPr>
            <w:tcW w:w="1565" w:type="dxa"/>
          </w:tcPr>
          <w:p w:rsidR="008800FE" w:rsidRPr="00034C84" w:rsidRDefault="008800FE" w:rsidP="00CF3C27">
            <w:pPr>
              <w:jc w:val="center"/>
            </w:pPr>
            <w:r w:rsidRPr="00034C84">
              <w:t>27.58</w:t>
            </w:r>
          </w:p>
        </w:tc>
        <w:tc>
          <w:tcPr>
            <w:tcW w:w="1565" w:type="dxa"/>
          </w:tcPr>
          <w:p w:rsidR="008800FE" w:rsidRDefault="008800FE" w:rsidP="00CF3C27">
            <w:pPr>
              <w:jc w:val="center"/>
            </w:pPr>
            <w:r w:rsidRPr="00034C84">
              <w:t>760.74</w:t>
            </w:r>
          </w:p>
        </w:tc>
      </w:tr>
    </w:tbl>
    <w:p w:rsidR="006937AF" w:rsidRDefault="006937AF" w:rsidP="00433967">
      <w:pPr>
        <w:ind w:left="1418" w:hanging="567"/>
        <w:jc w:val="both"/>
        <w:rPr>
          <w:rFonts w:eastAsiaTheme="minorEastAsia"/>
        </w:rPr>
      </w:pPr>
    </w:p>
    <w:p w:rsidR="00B51D94" w:rsidRDefault="006937AF" w:rsidP="00433967">
      <w:pPr>
        <w:ind w:left="1418" w:hanging="567"/>
        <w:jc w:val="both"/>
        <w:rPr>
          <w:rFonts w:eastAsiaTheme="minorEastAsia"/>
        </w:rPr>
      </w:pPr>
      <w:r>
        <w:rPr>
          <w:rFonts w:eastAsiaTheme="minorEastAsia"/>
        </w:rPr>
        <w:tab/>
        <w:t xml:space="preserve">It follows that the MAD is </w:t>
      </w:r>
      <w:r w:rsidR="008800FE">
        <w:rPr>
          <w:rFonts w:eastAsiaTheme="minorEastAsia"/>
        </w:rPr>
        <w:t>22.25</w:t>
      </w:r>
      <w:r>
        <w:rPr>
          <w:rFonts w:eastAsiaTheme="minorEastAsia"/>
        </w:rPr>
        <w:t xml:space="preserve"> and the MSE is </w:t>
      </w:r>
      <w:r w:rsidR="008800FE">
        <w:rPr>
          <w:rFonts w:eastAsiaTheme="minorEastAsia"/>
        </w:rPr>
        <w:t>495.19</w:t>
      </w:r>
      <w:r>
        <w:rPr>
          <w:rFonts w:eastAsiaTheme="minorEastAsia"/>
        </w:rPr>
        <w:t>.</w:t>
      </w:r>
    </w:p>
    <w:p w:rsidR="006937AF" w:rsidRDefault="00B51D94" w:rsidP="00B51D94">
      <w:pPr>
        <w:rPr>
          <w:rFonts w:eastAsiaTheme="minorEastAsia"/>
        </w:rPr>
      </w:pPr>
      <w:r>
        <w:rPr>
          <w:rFonts w:eastAsiaTheme="minorEastAsia"/>
        </w:rPr>
        <w:br w:type="page"/>
      </w:r>
    </w:p>
    <w:p w:rsidR="00B51D94" w:rsidRPr="00B47E22" w:rsidRDefault="00B51D94" w:rsidP="00433967">
      <w:pPr>
        <w:ind w:left="1418" w:hanging="567"/>
        <w:jc w:val="both"/>
        <w:rPr>
          <w:rFonts w:eastAsiaTheme="minorEastAsia"/>
        </w:rPr>
      </w:pPr>
      <w:r>
        <w:rPr>
          <w:rFonts w:eastAsiaTheme="minorEastAsia"/>
        </w:rPr>
        <w:lastRenderedPageBreak/>
        <w:t>(c)</w:t>
      </w:r>
      <w:r>
        <w:rPr>
          <w:rFonts w:eastAsiaTheme="minorEastAsia"/>
        </w:rPr>
        <w:tab/>
        <w:t>The original data, together with the seasonal indexes and intermediate computations are shown in the following table.</w:t>
      </w:r>
    </w:p>
    <w:tbl>
      <w:tblPr>
        <w:tblStyle w:val="TableGrid"/>
        <w:tblW w:w="7824" w:type="dxa"/>
        <w:tblInd w:w="1526" w:type="dxa"/>
        <w:tblLook w:val="04A0"/>
      </w:tblPr>
      <w:tblGrid>
        <w:gridCol w:w="1118"/>
        <w:gridCol w:w="1118"/>
        <w:gridCol w:w="1118"/>
        <w:gridCol w:w="1117"/>
        <w:gridCol w:w="1117"/>
        <w:gridCol w:w="1118"/>
        <w:gridCol w:w="1118"/>
      </w:tblGrid>
      <w:tr w:rsidR="00B51D94" w:rsidTr="00AA080C">
        <w:tc>
          <w:tcPr>
            <w:tcW w:w="1118" w:type="dxa"/>
          </w:tcPr>
          <w:p w:rsidR="00B51D94" w:rsidRPr="009B3B81" w:rsidRDefault="00B51D94" w:rsidP="000727FC">
            <w:r w:rsidRPr="009B3B81">
              <w:t>Year</w:t>
            </w:r>
          </w:p>
        </w:tc>
        <w:tc>
          <w:tcPr>
            <w:tcW w:w="1118" w:type="dxa"/>
          </w:tcPr>
          <w:p w:rsidR="00B51D94" w:rsidRPr="009B3B81" w:rsidRDefault="00B51D94" w:rsidP="000727FC">
            <w:r w:rsidRPr="009B3B81">
              <w:t>Quarter</w:t>
            </w:r>
          </w:p>
        </w:tc>
        <w:tc>
          <w:tcPr>
            <w:tcW w:w="1118" w:type="dxa"/>
          </w:tcPr>
          <w:p w:rsidR="00B51D94" w:rsidRPr="009B3B81" w:rsidRDefault="00B51D94" w:rsidP="000727FC">
            <w:r w:rsidRPr="009B3B81">
              <w:t>new clients</w:t>
            </w:r>
          </w:p>
        </w:tc>
        <w:tc>
          <w:tcPr>
            <w:tcW w:w="1117" w:type="dxa"/>
          </w:tcPr>
          <w:p w:rsidR="00B51D94" w:rsidRPr="00B51D94" w:rsidRDefault="00B51D94" w:rsidP="000727FC">
            <w:pPr>
              <w:rPr>
                <w:color w:val="BFBFBF" w:themeColor="background1" w:themeShade="BF"/>
              </w:rPr>
            </w:pPr>
            <w:r w:rsidRPr="00B51D94">
              <w:rPr>
                <w:color w:val="BFBFBF" w:themeColor="background1" w:themeShade="BF"/>
              </w:rPr>
              <w:t>Seasonal MA</w:t>
            </w:r>
          </w:p>
        </w:tc>
        <w:tc>
          <w:tcPr>
            <w:tcW w:w="1117" w:type="dxa"/>
          </w:tcPr>
          <w:p w:rsidR="00B51D94" w:rsidRPr="00B51D94" w:rsidRDefault="00B51D94" w:rsidP="000727FC">
            <w:pPr>
              <w:rPr>
                <w:color w:val="BFBFBF" w:themeColor="background1" w:themeShade="BF"/>
              </w:rPr>
            </w:pPr>
            <w:proofErr w:type="spellStart"/>
            <w:r w:rsidRPr="00B51D94">
              <w:rPr>
                <w:color w:val="BFBFBF" w:themeColor="background1" w:themeShade="BF"/>
              </w:rPr>
              <w:t>Seasonals</w:t>
            </w:r>
            <w:proofErr w:type="spellEnd"/>
          </w:p>
        </w:tc>
        <w:tc>
          <w:tcPr>
            <w:tcW w:w="1118" w:type="dxa"/>
          </w:tcPr>
          <w:p w:rsidR="00B51D94" w:rsidRPr="00B51D94" w:rsidRDefault="00B51D94" w:rsidP="000727FC">
            <w:pPr>
              <w:rPr>
                <w:color w:val="BFBFBF" w:themeColor="background1" w:themeShade="BF"/>
              </w:rPr>
            </w:pPr>
            <w:r w:rsidRPr="00B51D94">
              <w:rPr>
                <w:color w:val="BFBFBF" w:themeColor="background1" w:themeShade="BF"/>
              </w:rPr>
              <w:t>Crude seasonal index</w:t>
            </w:r>
          </w:p>
        </w:tc>
        <w:tc>
          <w:tcPr>
            <w:tcW w:w="1118" w:type="dxa"/>
          </w:tcPr>
          <w:p w:rsidR="00B51D94" w:rsidRDefault="00B51D94" w:rsidP="000727FC">
            <w:pPr>
              <w:jc w:val="both"/>
              <w:rPr>
                <w:rFonts w:eastAsiaTheme="minorEastAsia"/>
              </w:rPr>
            </w:pPr>
            <w:r w:rsidRPr="00B51D94">
              <w:rPr>
                <w:rFonts w:eastAsiaTheme="minorEastAsia"/>
              </w:rPr>
              <w:t>Modified seasonal index</w:t>
            </w:r>
          </w:p>
        </w:tc>
      </w:tr>
      <w:tr w:rsidR="00B51D94" w:rsidTr="00AA080C">
        <w:tc>
          <w:tcPr>
            <w:tcW w:w="1118" w:type="dxa"/>
          </w:tcPr>
          <w:p w:rsidR="00B51D94" w:rsidRPr="009B3B81" w:rsidRDefault="00B51D94" w:rsidP="000727FC">
            <w:r w:rsidRPr="009B3B81">
              <w:t>2006</w:t>
            </w:r>
          </w:p>
        </w:tc>
        <w:tc>
          <w:tcPr>
            <w:tcW w:w="1118" w:type="dxa"/>
          </w:tcPr>
          <w:p w:rsidR="00B51D94" w:rsidRPr="009B3B81" w:rsidRDefault="00B51D94" w:rsidP="000727FC">
            <w:r w:rsidRPr="009B3B81">
              <w:t>Q1</w:t>
            </w:r>
          </w:p>
        </w:tc>
        <w:tc>
          <w:tcPr>
            <w:tcW w:w="1118" w:type="dxa"/>
          </w:tcPr>
          <w:p w:rsidR="00B51D94" w:rsidRPr="009B3B81" w:rsidRDefault="00B51D94" w:rsidP="000727FC">
            <w:r w:rsidRPr="009B3B81">
              <w:t>218</w:t>
            </w:r>
          </w:p>
        </w:tc>
        <w:tc>
          <w:tcPr>
            <w:tcW w:w="1117" w:type="dxa"/>
          </w:tcPr>
          <w:p w:rsidR="00B51D94" w:rsidRPr="00B51D94" w:rsidRDefault="00B51D94" w:rsidP="000727FC">
            <w:pPr>
              <w:rPr>
                <w:color w:val="BFBFBF" w:themeColor="background1" w:themeShade="BF"/>
              </w:rPr>
            </w:pPr>
          </w:p>
        </w:tc>
        <w:tc>
          <w:tcPr>
            <w:tcW w:w="1117" w:type="dxa"/>
          </w:tcPr>
          <w:p w:rsidR="00B51D94" w:rsidRPr="00B51D94" w:rsidRDefault="00B51D94" w:rsidP="000727FC">
            <w:pPr>
              <w:rPr>
                <w:color w:val="BFBFBF" w:themeColor="background1" w:themeShade="BF"/>
              </w:rPr>
            </w:pPr>
          </w:p>
        </w:tc>
        <w:tc>
          <w:tcPr>
            <w:tcW w:w="1118" w:type="dxa"/>
          </w:tcPr>
          <w:p w:rsidR="00B51D94" w:rsidRPr="00B51D94" w:rsidRDefault="00B51D94" w:rsidP="000727FC">
            <w:pPr>
              <w:rPr>
                <w:color w:val="BFBFBF" w:themeColor="background1" w:themeShade="BF"/>
              </w:rPr>
            </w:pPr>
            <w:r w:rsidRPr="00B51D94">
              <w:rPr>
                <w:color w:val="BFBFBF" w:themeColor="background1" w:themeShade="BF"/>
              </w:rPr>
              <w:t>92.7%</w:t>
            </w:r>
          </w:p>
        </w:tc>
        <w:tc>
          <w:tcPr>
            <w:tcW w:w="1118" w:type="dxa"/>
          </w:tcPr>
          <w:p w:rsidR="00B51D94" w:rsidRPr="00FB50B2" w:rsidRDefault="00B51D94" w:rsidP="000727FC">
            <w:r w:rsidRPr="00FB50B2">
              <w:t>92.5%</w:t>
            </w:r>
          </w:p>
        </w:tc>
      </w:tr>
      <w:tr w:rsidR="00B51D94" w:rsidTr="00AA080C">
        <w:tc>
          <w:tcPr>
            <w:tcW w:w="1118" w:type="dxa"/>
          </w:tcPr>
          <w:p w:rsidR="00B51D94" w:rsidRPr="009B3B81" w:rsidRDefault="00B51D94" w:rsidP="000727FC">
            <w:r w:rsidRPr="009B3B81">
              <w:t>2006</w:t>
            </w:r>
          </w:p>
        </w:tc>
        <w:tc>
          <w:tcPr>
            <w:tcW w:w="1118" w:type="dxa"/>
          </w:tcPr>
          <w:p w:rsidR="00B51D94" w:rsidRPr="009B3B81" w:rsidRDefault="00B51D94" w:rsidP="000727FC">
            <w:r w:rsidRPr="009B3B81">
              <w:t>Q2</w:t>
            </w:r>
          </w:p>
        </w:tc>
        <w:tc>
          <w:tcPr>
            <w:tcW w:w="1118" w:type="dxa"/>
          </w:tcPr>
          <w:p w:rsidR="00B51D94" w:rsidRPr="009B3B81" w:rsidRDefault="00B51D94" w:rsidP="000727FC">
            <w:r w:rsidRPr="009B3B81">
              <w:t>250</w:t>
            </w:r>
          </w:p>
        </w:tc>
        <w:tc>
          <w:tcPr>
            <w:tcW w:w="1117" w:type="dxa"/>
          </w:tcPr>
          <w:p w:rsidR="00B51D94" w:rsidRPr="00B51D94" w:rsidRDefault="00B51D94" w:rsidP="000727FC">
            <w:pPr>
              <w:rPr>
                <w:color w:val="BFBFBF" w:themeColor="background1" w:themeShade="BF"/>
              </w:rPr>
            </w:pPr>
          </w:p>
        </w:tc>
        <w:tc>
          <w:tcPr>
            <w:tcW w:w="1117" w:type="dxa"/>
          </w:tcPr>
          <w:p w:rsidR="00B51D94" w:rsidRPr="00B51D94" w:rsidRDefault="00B51D94" w:rsidP="000727FC">
            <w:pPr>
              <w:rPr>
                <w:color w:val="BFBFBF" w:themeColor="background1" w:themeShade="BF"/>
              </w:rPr>
            </w:pPr>
          </w:p>
        </w:tc>
        <w:tc>
          <w:tcPr>
            <w:tcW w:w="1118" w:type="dxa"/>
          </w:tcPr>
          <w:p w:rsidR="00B51D94" w:rsidRPr="00B51D94" w:rsidRDefault="00B51D94" w:rsidP="000727FC">
            <w:pPr>
              <w:rPr>
                <w:color w:val="BFBFBF" w:themeColor="background1" w:themeShade="BF"/>
              </w:rPr>
            </w:pPr>
            <w:r w:rsidRPr="00B51D94">
              <w:rPr>
                <w:color w:val="BFBFBF" w:themeColor="background1" w:themeShade="BF"/>
              </w:rPr>
              <w:t>104.6%</w:t>
            </w:r>
          </w:p>
        </w:tc>
        <w:tc>
          <w:tcPr>
            <w:tcW w:w="1118" w:type="dxa"/>
          </w:tcPr>
          <w:p w:rsidR="00B51D94" w:rsidRDefault="00B51D94" w:rsidP="000727FC">
            <w:r w:rsidRPr="00FB50B2">
              <w:t>104.3%</w:t>
            </w:r>
          </w:p>
        </w:tc>
      </w:tr>
      <w:tr w:rsidR="00B51D94" w:rsidTr="00AA080C">
        <w:tc>
          <w:tcPr>
            <w:tcW w:w="1118" w:type="dxa"/>
          </w:tcPr>
          <w:p w:rsidR="00B51D94" w:rsidRPr="009B3B81" w:rsidRDefault="00B51D94" w:rsidP="000727FC">
            <w:r w:rsidRPr="009B3B81">
              <w:t>2006</w:t>
            </w:r>
          </w:p>
        </w:tc>
        <w:tc>
          <w:tcPr>
            <w:tcW w:w="1118" w:type="dxa"/>
          </w:tcPr>
          <w:p w:rsidR="00B51D94" w:rsidRPr="009B3B81" w:rsidRDefault="00B51D94" w:rsidP="000727FC">
            <w:r w:rsidRPr="009B3B81">
              <w:t>Q3</w:t>
            </w:r>
          </w:p>
        </w:tc>
        <w:tc>
          <w:tcPr>
            <w:tcW w:w="1118" w:type="dxa"/>
          </w:tcPr>
          <w:p w:rsidR="00B51D94" w:rsidRPr="009B3B81" w:rsidRDefault="00B51D94" w:rsidP="000727FC">
            <w:r w:rsidRPr="009B3B81">
              <w:t>244</w:t>
            </w:r>
          </w:p>
        </w:tc>
        <w:tc>
          <w:tcPr>
            <w:tcW w:w="1117" w:type="dxa"/>
          </w:tcPr>
          <w:p w:rsidR="00B51D94" w:rsidRPr="00B51D94" w:rsidRDefault="00B51D94" w:rsidP="000727FC">
            <w:pPr>
              <w:rPr>
                <w:color w:val="BFBFBF" w:themeColor="background1" w:themeShade="BF"/>
              </w:rPr>
            </w:pPr>
            <w:r w:rsidRPr="00B51D94">
              <w:rPr>
                <w:color w:val="BFBFBF" w:themeColor="background1" w:themeShade="BF"/>
              </w:rPr>
              <w:t>235.25</w:t>
            </w:r>
          </w:p>
        </w:tc>
        <w:tc>
          <w:tcPr>
            <w:tcW w:w="1117" w:type="dxa"/>
          </w:tcPr>
          <w:p w:rsidR="00B51D94" w:rsidRPr="00B51D94" w:rsidRDefault="00B51D94" w:rsidP="000727FC">
            <w:pPr>
              <w:rPr>
                <w:color w:val="BFBFBF" w:themeColor="background1" w:themeShade="BF"/>
              </w:rPr>
            </w:pPr>
            <w:r w:rsidRPr="00B51D94">
              <w:rPr>
                <w:color w:val="BFBFBF" w:themeColor="background1" w:themeShade="BF"/>
              </w:rPr>
              <w:t>103.7%</w:t>
            </w:r>
          </w:p>
        </w:tc>
        <w:tc>
          <w:tcPr>
            <w:tcW w:w="1118" w:type="dxa"/>
          </w:tcPr>
          <w:p w:rsidR="00B51D94" w:rsidRPr="00B51D94" w:rsidRDefault="00B51D94" w:rsidP="000727FC">
            <w:pPr>
              <w:rPr>
                <w:color w:val="BFBFBF" w:themeColor="background1" w:themeShade="BF"/>
              </w:rPr>
            </w:pPr>
            <w:r w:rsidRPr="00B51D94">
              <w:rPr>
                <w:color w:val="BFBFBF" w:themeColor="background1" w:themeShade="BF"/>
              </w:rPr>
              <w:t>104.6%</w:t>
            </w:r>
          </w:p>
        </w:tc>
        <w:tc>
          <w:tcPr>
            <w:tcW w:w="1118" w:type="dxa"/>
          </w:tcPr>
          <w:p w:rsidR="00B51D94" w:rsidRPr="00FB50B2" w:rsidRDefault="00B51D94" w:rsidP="000727FC">
            <w:r w:rsidRPr="00FB50B2">
              <w:t>104.4%</w:t>
            </w:r>
          </w:p>
        </w:tc>
      </w:tr>
      <w:tr w:rsidR="00B51D94" w:rsidTr="00AA080C">
        <w:tc>
          <w:tcPr>
            <w:tcW w:w="1118" w:type="dxa"/>
          </w:tcPr>
          <w:p w:rsidR="00B51D94" w:rsidRPr="009B3B81" w:rsidRDefault="00B51D94" w:rsidP="000727FC">
            <w:r w:rsidRPr="009B3B81">
              <w:t>2006</w:t>
            </w:r>
          </w:p>
        </w:tc>
        <w:tc>
          <w:tcPr>
            <w:tcW w:w="1118" w:type="dxa"/>
          </w:tcPr>
          <w:p w:rsidR="00B51D94" w:rsidRPr="009B3B81" w:rsidRDefault="00B51D94" w:rsidP="000727FC">
            <w:r w:rsidRPr="009B3B81">
              <w:t>Q4</w:t>
            </w:r>
          </w:p>
        </w:tc>
        <w:tc>
          <w:tcPr>
            <w:tcW w:w="1118" w:type="dxa"/>
          </w:tcPr>
          <w:p w:rsidR="00B51D94" w:rsidRPr="009B3B81" w:rsidRDefault="00B51D94" w:rsidP="000727FC">
            <w:r w:rsidRPr="009B3B81">
              <w:t>229</w:t>
            </w:r>
          </w:p>
        </w:tc>
        <w:tc>
          <w:tcPr>
            <w:tcW w:w="1117" w:type="dxa"/>
          </w:tcPr>
          <w:p w:rsidR="00B51D94" w:rsidRPr="00B51D94" w:rsidRDefault="00B51D94" w:rsidP="000727FC">
            <w:pPr>
              <w:rPr>
                <w:color w:val="BFBFBF" w:themeColor="background1" w:themeShade="BF"/>
              </w:rPr>
            </w:pPr>
            <w:r w:rsidRPr="00B51D94">
              <w:rPr>
                <w:color w:val="BFBFBF" w:themeColor="background1" w:themeShade="BF"/>
              </w:rPr>
              <w:t>228.25</w:t>
            </w:r>
          </w:p>
        </w:tc>
        <w:tc>
          <w:tcPr>
            <w:tcW w:w="1117" w:type="dxa"/>
          </w:tcPr>
          <w:p w:rsidR="00B51D94" w:rsidRPr="00B51D94" w:rsidRDefault="00B51D94" w:rsidP="000727FC">
            <w:pPr>
              <w:rPr>
                <w:color w:val="BFBFBF" w:themeColor="background1" w:themeShade="BF"/>
              </w:rPr>
            </w:pPr>
            <w:r w:rsidRPr="00B51D94">
              <w:rPr>
                <w:color w:val="BFBFBF" w:themeColor="background1" w:themeShade="BF"/>
              </w:rPr>
              <w:t>100.3%</w:t>
            </w:r>
          </w:p>
        </w:tc>
        <w:tc>
          <w:tcPr>
            <w:tcW w:w="1118" w:type="dxa"/>
          </w:tcPr>
          <w:p w:rsidR="00B51D94" w:rsidRPr="00B51D94" w:rsidRDefault="00B51D94" w:rsidP="000727FC">
            <w:pPr>
              <w:rPr>
                <w:color w:val="BFBFBF" w:themeColor="background1" w:themeShade="BF"/>
              </w:rPr>
            </w:pPr>
            <w:r w:rsidRPr="00B51D94">
              <w:rPr>
                <w:color w:val="BFBFBF" w:themeColor="background1" w:themeShade="BF"/>
              </w:rPr>
              <w:t>99.0%</w:t>
            </w:r>
          </w:p>
        </w:tc>
        <w:tc>
          <w:tcPr>
            <w:tcW w:w="1118" w:type="dxa"/>
          </w:tcPr>
          <w:p w:rsidR="00B51D94" w:rsidRPr="00FB50B2" w:rsidRDefault="00B51D94" w:rsidP="000727FC">
            <w:r w:rsidRPr="00FB50B2">
              <w:t>98.8%</w:t>
            </w:r>
          </w:p>
        </w:tc>
      </w:tr>
      <w:tr w:rsidR="00B51D94" w:rsidTr="00AA080C">
        <w:tc>
          <w:tcPr>
            <w:tcW w:w="1118" w:type="dxa"/>
          </w:tcPr>
          <w:p w:rsidR="00B51D94" w:rsidRPr="009B3B81" w:rsidRDefault="00B51D94" w:rsidP="000727FC">
            <w:r w:rsidRPr="009B3B81">
              <w:t>2007</w:t>
            </w:r>
          </w:p>
        </w:tc>
        <w:tc>
          <w:tcPr>
            <w:tcW w:w="1118" w:type="dxa"/>
          </w:tcPr>
          <w:p w:rsidR="00B51D94" w:rsidRPr="009B3B81" w:rsidRDefault="00B51D94" w:rsidP="000727FC">
            <w:r w:rsidRPr="009B3B81">
              <w:t>Q1</w:t>
            </w:r>
          </w:p>
        </w:tc>
        <w:tc>
          <w:tcPr>
            <w:tcW w:w="1118" w:type="dxa"/>
          </w:tcPr>
          <w:p w:rsidR="00B51D94" w:rsidRPr="009B3B81" w:rsidRDefault="00B51D94" w:rsidP="000727FC">
            <w:r w:rsidRPr="009B3B81">
              <w:t>190</w:t>
            </w:r>
          </w:p>
        </w:tc>
        <w:tc>
          <w:tcPr>
            <w:tcW w:w="1117" w:type="dxa"/>
          </w:tcPr>
          <w:p w:rsidR="00B51D94" w:rsidRPr="00B51D94" w:rsidRDefault="00B51D94" w:rsidP="000727FC">
            <w:pPr>
              <w:rPr>
                <w:color w:val="BFBFBF" w:themeColor="background1" w:themeShade="BF"/>
              </w:rPr>
            </w:pPr>
            <w:r w:rsidRPr="00B51D94">
              <w:rPr>
                <w:color w:val="BFBFBF" w:themeColor="background1" w:themeShade="BF"/>
              </w:rPr>
              <w:t>220.75</w:t>
            </w:r>
          </w:p>
        </w:tc>
        <w:tc>
          <w:tcPr>
            <w:tcW w:w="1117" w:type="dxa"/>
          </w:tcPr>
          <w:p w:rsidR="00B51D94" w:rsidRPr="00B51D94" w:rsidRDefault="00B51D94" w:rsidP="000727FC">
            <w:pPr>
              <w:rPr>
                <w:color w:val="BFBFBF" w:themeColor="background1" w:themeShade="BF"/>
              </w:rPr>
            </w:pPr>
            <w:r w:rsidRPr="00B51D94">
              <w:rPr>
                <w:color w:val="BFBFBF" w:themeColor="background1" w:themeShade="BF"/>
              </w:rPr>
              <w:t>86.1%</w:t>
            </w:r>
          </w:p>
        </w:tc>
        <w:tc>
          <w:tcPr>
            <w:tcW w:w="1118" w:type="dxa"/>
          </w:tcPr>
          <w:p w:rsidR="00B51D94" w:rsidRPr="00B51D94" w:rsidRDefault="00B51D94" w:rsidP="000727FC">
            <w:pPr>
              <w:rPr>
                <w:color w:val="BFBFBF" w:themeColor="background1" w:themeShade="BF"/>
              </w:rPr>
            </w:pPr>
          </w:p>
        </w:tc>
        <w:tc>
          <w:tcPr>
            <w:tcW w:w="1118" w:type="dxa"/>
          </w:tcPr>
          <w:p w:rsidR="00B51D94" w:rsidRPr="00FB50B2" w:rsidRDefault="00B51D94" w:rsidP="000727FC"/>
        </w:tc>
      </w:tr>
      <w:tr w:rsidR="00B51D94" w:rsidTr="00AA080C">
        <w:tc>
          <w:tcPr>
            <w:tcW w:w="1118" w:type="dxa"/>
          </w:tcPr>
          <w:p w:rsidR="00B51D94" w:rsidRPr="009B3B81" w:rsidRDefault="00B51D94" w:rsidP="000727FC">
            <w:r w:rsidRPr="009B3B81">
              <w:t>2007</w:t>
            </w:r>
          </w:p>
        </w:tc>
        <w:tc>
          <w:tcPr>
            <w:tcW w:w="1118" w:type="dxa"/>
          </w:tcPr>
          <w:p w:rsidR="00B51D94" w:rsidRPr="009B3B81" w:rsidRDefault="00B51D94" w:rsidP="000727FC">
            <w:r w:rsidRPr="009B3B81">
              <w:t>Q2</w:t>
            </w:r>
          </w:p>
        </w:tc>
        <w:tc>
          <w:tcPr>
            <w:tcW w:w="1118" w:type="dxa"/>
          </w:tcPr>
          <w:p w:rsidR="00B51D94" w:rsidRPr="009B3B81" w:rsidRDefault="00B51D94" w:rsidP="000727FC">
            <w:r w:rsidRPr="009B3B81">
              <w:t>220</w:t>
            </w:r>
          </w:p>
        </w:tc>
        <w:tc>
          <w:tcPr>
            <w:tcW w:w="1117" w:type="dxa"/>
          </w:tcPr>
          <w:p w:rsidR="00B51D94" w:rsidRPr="00B51D94" w:rsidRDefault="00B51D94" w:rsidP="000727FC">
            <w:pPr>
              <w:rPr>
                <w:color w:val="BFBFBF" w:themeColor="background1" w:themeShade="BF"/>
              </w:rPr>
            </w:pPr>
            <w:r w:rsidRPr="00B51D94">
              <w:rPr>
                <w:color w:val="BFBFBF" w:themeColor="background1" w:themeShade="BF"/>
              </w:rPr>
              <w:t>216.75</w:t>
            </w:r>
          </w:p>
        </w:tc>
        <w:tc>
          <w:tcPr>
            <w:tcW w:w="1117" w:type="dxa"/>
          </w:tcPr>
          <w:p w:rsidR="00B51D94" w:rsidRPr="00B51D94" w:rsidRDefault="00B51D94" w:rsidP="000727FC">
            <w:pPr>
              <w:rPr>
                <w:color w:val="BFBFBF" w:themeColor="background1" w:themeShade="BF"/>
              </w:rPr>
            </w:pPr>
            <w:r w:rsidRPr="00B51D94">
              <w:rPr>
                <w:color w:val="BFBFBF" w:themeColor="background1" w:themeShade="BF"/>
              </w:rPr>
              <w:t>101.5%</w:t>
            </w:r>
          </w:p>
        </w:tc>
        <w:tc>
          <w:tcPr>
            <w:tcW w:w="1118" w:type="dxa"/>
          </w:tcPr>
          <w:p w:rsidR="00B51D94" w:rsidRPr="00B51D94" w:rsidRDefault="00B51D94" w:rsidP="000727FC">
            <w:pPr>
              <w:rPr>
                <w:color w:val="BFBFBF" w:themeColor="background1" w:themeShade="BF"/>
              </w:rPr>
            </w:pPr>
          </w:p>
        </w:tc>
        <w:tc>
          <w:tcPr>
            <w:tcW w:w="1118" w:type="dxa"/>
          </w:tcPr>
          <w:p w:rsidR="00B51D94" w:rsidRDefault="00B51D94" w:rsidP="000727FC"/>
        </w:tc>
      </w:tr>
      <w:tr w:rsidR="00B51D94" w:rsidTr="00AA080C">
        <w:tc>
          <w:tcPr>
            <w:tcW w:w="1118" w:type="dxa"/>
          </w:tcPr>
          <w:p w:rsidR="00B51D94" w:rsidRPr="009B3B81" w:rsidRDefault="00B51D94" w:rsidP="000727FC">
            <w:r w:rsidRPr="009B3B81">
              <w:t>2007</w:t>
            </w:r>
          </w:p>
        </w:tc>
        <w:tc>
          <w:tcPr>
            <w:tcW w:w="1118" w:type="dxa"/>
          </w:tcPr>
          <w:p w:rsidR="00B51D94" w:rsidRPr="009B3B81" w:rsidRDefault="00B51D94" w:rsidP="000727FC">
            <w:r w:rsidRPr="009B3B81">
              <w:t>Q3</w:t>
            </w:r>
          </w:p>
        </w:tc>
        <w:tc>
          <w:tcPr>
            <w:tcW w:w="1118" w:type="dxa"/>
          </w:tcPr>
          <w:p w:rsidR="00B51D94" w:rsidRPr="009B3B81" w:rsidRDefault="00B51D94" w:rsidP="000727FC">
            <w:r w:rsidRPr="009B3B81">
              <w:t>228</w:t>
            </w:r>
          </w:p>
        </w:tc>
        <w:tc>
          <w:tcPr>
            <w:tcW w:w="1117" w:type="dxa"/>
          </w:tcPr>
          <w:p w:rsidR="00B51D94" w:rsidRPr="00B51D94" w:rsidRDefault="00B51D94" w:rsidP="000727FC">
            <w:pPr>
              <w:rPr>
                <w:color w:val="BFBFBF" w:themeColor="background1" w:themeShade="BF"/>
              </w:rPr>
            </w:pPr>
            <w:r w:rsidRPr="00B51D94">
              <w:rPr>
                <w:color w:val="BFBFBF" w:themeColor="background1" w:themeShade="BF"/>
              </w:rPr>
              <w:t>214.75</w:t>
            </w:r>
          </w:p>
        </w:tc>
        <w:tc>
          <w:tcPr>
            <w:tcW w:w="1117" w:type="dxa"/>
          </w:tcPr>
          <w:p w:rsidR="00B51D94" w:rsidRPr="00B51D94" w:rsidRDefault="00B51D94" w:rsidP="000727FC">
            <w:pPr>
              <w:rPr>
                <w:color w:val="BFBFBF" w:themeColor="background1" w:themeShade="BF"/>
              </w:rPr>
            </w:pPr>
            <w:r w:rsidRPr="00B51D94">
              <w:rPr>
                <w:color w:val="BFBFBF" w:themeColor="background1" w:themeShade="BF"/>
              </w:rPr>
              <w:t>106.2%</w:t>
            </w:r>
          </w:p>
        </w:tc>
        <w:tc>
          <w:tcPr>
            <w:tcW w:w="1118" w:type="dxa"/>
          </w:tcPr>
          <w:p w:rsidR="00B51D94" w:rsidRPr="00B51D94" w:rsidRDefault="00B51D94" w:rsidP="000727FC">
            <w:pPr>
              <w:rPr>
                <w:color w:val="BFBFBF" w:themeColor="background1" w:themeShade="BF"/>
              </w:rPr>
            </w:pPr>
          </w:p>
        </w:tc>
        <w:tc>
          <w:tcPr>
            <w:tcW w:w="1118" w:type="dxa"/>
          </w:tcPr>
          <w:p w:rsidR="00B51D94" w:rsidRDefault="00B51D94" w:rsidP="00433967">
            <w:pPr>
              <w:jc w:val="both"/>
              <w:rPr>
                <w:rFonts w:eastAsiaTheme="minorEastAsia"/>
              </w:rPr>
            </w:pPr>
          </w:p>
        </w:tc>
      </w:tr>
      <w:tr w:rsidR="00B51D94" w:rsidTr="00AA080C">
        <w:tc>
          <w:tcPr>
            <w:tcW w:w="1118" w:type="dxa"/>
          </w:tcPr>
          <w:p w:rsidR="00B51D94" w:rsidRPr="009B3B81" w:rsidRDefault="00B51D94" w:rsidP="000727FC">
            <w:r w:rsidRPr="009B3B81">
              <w:t>2007</w:t>
            </w:r>
          </w:p>
        </w:tc>
        <w:tc>
          <w:tcPr>
            <w:tcW w:w="1118" w:type="dxa"/>
          </w:tcPr>
          <w:p w:rsidR="00B51D94" w:rsidRPr="009B3B81" w:rsidRDefault="00B51D94" w:rsidP="000727FC">
            <w:r w:rsidRPr="009B3B81">
              <w:t>Q4</w:t>
            </w:r>
          </w:p>
        </w:tc>
        <w:tc>
          <w:tcPr>
            <w:tcW w:w="1118" w:type="dxa"/>
          </w:tcPr>
          <w:p w:rsidR="00B51D94" w:rsidRPr="009B3B81" w:rsidRDefault="00B51D94" w:rsidP="000727FC">
            <w:r w:rsidRPr="009B3B81">
              <w:t>221</w:t>
            </w:r>
          </w:p>
        </w:tc>
        <w:tc>
          <w:tcPr>
            <w:tcW w:w="1117" w:type="dxa"/>
          </w:tcPr>
          <w:p w:rsidR="00B51D94" w:rsidRPr="00B51D94" w:rsidRDefault="00B51D94" w:rsidP="000727FC">
            <w:pPr>
              <w:rPr>
                <w:color w:val="BFBFBF" w:themeColor="background1" w:themeShade="BF"/>
              </w:rPr>
            </w:pPr>
            <w:r w:rsidRPr="00B51D94">
              <w:rPr>
                <w:color w:val="BFBFBF" w:themeColor="background1" w:themeShade="BF"/>
              </w:rPr>
              <w:t>226.25</w:t>
            </w:r>
          </w:p>
        </w:tc>
        <w:tc>
          <w:tcPr>
            <w:tcW w:w="1117" w:type="dxa"/>
          </w:tcPr>
          <w:p w:rsidR="00B51D94" w:rsidRPr="00B51D94" w:rsidRDefault="00B51D94" w:rsidP="000727FC">
            <w:pPr>
              <w:rPr>
                <w:color w:val="BFBFBF" w:themeColor="background1" w:themeShade="BF"/>
              </w:rPr>
            </w:pPr>
            <w:r w:rsidRPr="00B51D94">
              <w:rPr>
                <w:color w:val="BFBFBF" w:themeColor="background1" w:themeShade="BF"/>
              </w:rPr>
              <w:t>97.7%</w:t>
            </w:r>
          </w:p>
        </w:tc>
        <w:tc>
          <w:tcPr>
            <w:tcW w:w="1118" w:type="dxa"/>
          </w:tcPr>
          <w:p w:rsidR="00B51D94" w:rsidRPr="00B51D94" w:rsidRDefault="00B51D94" w:rsidP="000727FC">
            <w:pPr>
              <w:rPr>
                <w:color w:val="BFBFBF" w:themeColor="background1" w:themeShade="BF"/>
              </w:rPr>
            </w:pPr>
          </w:p>
        </w:tc>
        <w:tc>
          <w:tcPr>
            <w:tcW w:w="1118" w:type="dxa"/>
          </w:tcPr>
          <w:p w:rsidR="00B51D94" w:rsidRDefault="00B51D94" w:rsidP="00433967">
            <w:pPr>
              <w:jc w:val="both"/>
              <w:rPr>
                <w:rFonts w:eastAsiaTheme="minorEastAsia"/>
              </w:rPr>
            </w:pPr>
          </w:p>
        </w:tc>
      </w:tr>
      <w:tr w:rsidR="00B51D94" w:rsidTr="00AA080C">
        <w:tc>
          <w:tcPr>
            <w:tcW w:w="1118" w:type="dxa"/>
          </w:tcPr>
          <w:p w:rsidR="00B51D94" w:rsidRPr="009B3B81" w:rsidRDefault="00B51D94" w:rsidP="000727FC">
            <w:r w:rsidRPr="009B3B81">
              <w:t>2008</w:t>
            </w:r>
          </w:p>
        </w:tc>
        <w:tc>
          <w:tcPr>
            <w:tcW w:w="1118" w:type="dxa"/>
          </w:tcPr>
          <w:p w:rsidR="00B51D94" w:rsidRPr="009B3B81" w:rsidRDefault="00B51D94" w:rsidP="000727FC">
            <w:r w:rsidRPr="009B3B81">
              <w:t>Q1</w:t>
            </w:r>
          </w:p>
        </w:tc>
        <w:tc>
          <w:tcPr>
            <w:tcW w:w="1118" w:type="dxa"/>
          </w:tcPr>
          <w:p w:rsidR="00B51D94" w:rsidRPr="009B3B81" w:rsidRDefault="00B51D94" w:rsidP="000727FC">
            <w:r w:rsidRPr="009B3B81">
              <w:t>236</w:t>
            </w:r>
          </w:p>
        </w:tc>
        <w:tc>
          <w:tcPr>
            <w:tcW w:w="1117" w:type="dxa"/>
          </w:tcPr>
          <w:p w:rsidR="00B51D94" w:rsidRPr="00B51D94" w:rsidRDefault="00B51D94" w:rsidP="000727FC">
            <w:pPr>
              <w:rPr>
                <w:color w:val="BFBFBF" w:themeColor="background1" w:themeShade="BF"/>
              </w:rPr>
            </w:pPr>
            <w:r w:rsidRPr="00B51D94">
              <w:rPr>
                <w:color w:val="BFBFBF" w:themeColor="background1" w:themeShade="BF"/>
              </w:rPr>
              <w:t>237.5</w:t>
            </w:r>
          </w:p>
        </w:tc>
        <w:tc>
          <w:tcPr>
            <w:tcW w:w="1117" w:type="dxa"/>
          </w:tcPr>
          <w:p w:rsidR="00B51D94" w:rsidRPr="00B51D94" w:rsidRDefault="00B51D94" w:rsidP="000727FC">
            <w:pPr>
              <w:rPr>
                <w:color w:val="BFBFBF" w:themeColor="background1" w:themeShade="BF"/>
              </w:rPr>
            </w:pPr>
            <w:r w:rsidRPr="00B51D94">
              <w:rPr>
                <w:color w:val="BFBFBF" w:themeColor="background1" w:themeShade="BF"/>
              </w:rPr>
              <w:t>99.4%</w:t>
            </w:r>
          </w:p>
        </w:tc>
        <w:tc>
          <w:tcPr>
            <w:tcW w:w="1118" w:type="dxa"/>
          </w:tcPr>
          <w:p w:rsidR="00B51D94" w:rsidRPr="00B51D94" w:rsidRDefault="00B51D94" w:rsidP="000727FC">
            <w:pPr>
              <w:rPr>
                <w:color w:val="BFBFBF" w:themeColor="background1" w:themeShade="BF"/>
              </w:rPr>
            </w:pPr>
          </w:p>
        </w:tc>
        <w:tc>
          <w:tcPr>
            <w:tcW w:w="1118" w:type="dxa"/>
          </w:tcPr>
          <w:p w:rsidR="00B51D94" w:rsidRDefault="00B51D94" w:rsidP="00433967">
            <w:pPr>
              <w:jc w:val="both"/>
              <w:rPr>
                <w:rFonts w:eastAsiaTheme="minorEastAsia"/>
              </w:rPr>
            </w:pPr>
          </w:p>
        </w:tc>
      </w:tr>
      <w:tr w:rsidR="00B51D94" w:rsidTr="00AA080C">
        <w:tc>
          <w:tcPr>
            <w:tcW w:w="1118" w:type="dxa"/>
          </w:tcPr>
          <w:p w:rsidR="00B51D94" w:rsidRPr="009B3B81" w:rsidRDefault="00B51D94" w:rsidP="000727FC">
            <w:r w:rsidRPr="009B3B81">
              <w:t>2008</w:t>
            </w:r>
          </w:p>
        </w:tc>
        <w:tc>
          <w:tcPr>
            <w:tcW w:w="1118" w:type="dxa"/>
          </w:tcPr>
          <w:p w:rsidR="00B51D94" w:rsidRPr="009B3B81" w:rsidRDefault="00B51D94" w:rsidP="000727FC">
            <w:r w:rsidRPr="009B3B81">
              <w:t>Q2</w:t>
            </w:r>
          </w:p>
        </w:tc>
        <w:tc>
          <w:tcPr>
            <w:tcW w:w="1118" w:type="dxa"/>
          </w:tcPr>
          <w:p w:rsidR="00B51D94" w:rsidRPr="009B3B81" w:rsidRDefault="00B51D94" w:rsidP="000727FC">
            <w:r w:rsidRPr="009B3B81">
              <w:t>265</w:t>
            </w:r>
          </w:p>
        </w:tc>
        <w:tc>
          <w:tcPr>
            <w:tcW w:w="1117" w:type="dxa"/>
          </w:tcPr>
          <w:p w:rsidR="00B51D94" w:rsidRPr="00B51D94" w:rsidRDefault="00B51D94" w:rsidP="000727FC">
            <w:pPr>
              <w:rPr>
                <w:color w:val="BFBFBF" w:themeColor="background1" w:themeShade="BF"/>
              </w:rPr>
            </w:pPr>
            <w:r w:rsidRPr="00B51D94">
              <w:rPr>
                <w:color w:val="BFBFBF" w:themeColor="background1" w:themeShade="BF"/>
              </w:rPr>
              <w:t>246.25</w:t>
            </w:r>
          </w:p>
        </w:tc>
        <w:tc>
          <w:tcPr>
            <w:tcW w:w="1117" w:type="dxa"/>
          </w:tcPr>
          <w:p w:rsidR="00B51D94" w:rsidRPr="00B51D94" w:rsidRDefault="00B51D94" w:rsidP="000727FC">
            <w:pPr>
              <w:rPr>
                <w:color w:val="BFBFBF" w:themeColor="background1" w:themeShade="BF"/>
              </w:rPr>
            </w:pPr>
            <w:r w:rsidRPr="00B51D94">
              <w:rPr>
                <w:color w:val="BFBFBF" w:themeColor="background1" w:themeShade="BF"/>
              </w:rPr>
              <w:t>107.6%</w:t>
            </w:r>
          </w:p>
        </w:tc>
        <w:tc>
          <w:tcPr>
            <w:tcW w:w="1118" w:type="dxa"/>
          </w:tcPr>
          <w:p w:rsidR="00B51D94" w:rsidRPr="00B51D94" w:rsidRDefault="00B51D94" w:rsidP="000727FC">
            <w:pPr>
              <w:rPr>
                <w:color w:val="BFBFBF" w:themeColor="background1" w:themeShade="BF"/>
              </w:rPr>
            </w:pPr>
          </w:p>
        </w:tc>
        <w:tc>
          <w:tcPr>
            <w:tcW w:w="1118" w:type="dxa"/>
          </w:tcPr>
          <w:p w:rsidR="00B51D94" w:rsidRDefault="00B51D94" w:rsidP="00433967">
            <w:pPr>
              <w:jc w:val="both"/>
              <w:rPr>
                <w:rFonts w:eastAsiaTheme="minorEastAsia"/>
              </w:rPr>
            </w:pPr>
          </w:p>
        </w:tc>
      </w:tr>
      <w:tr w:rsidR="00B51D94" w:rsidTr="00AA080C">
        <w:tc>
          <w:tcPr>
            <w:tcW w:w="1118" w:type="dxa"/>
          </w:tcPr>
          <w:p w:rsidR="00B51D94" w:rsidRPr="009B3B81" w:rsidRDefault="00B51D94" w:rsidP="000727FC">
            <w:r w:rsidRPr="009B3B81">
              <w:t>2008</w:t>
            </w:r>
          </w:p>
        </w:tc>
        <w:tc>
          <w:tcPr>
            <w:tcW w:w="1118" w:type="dxa"/>
          </w:tcPr>
          <w:p w:rsidR="00B51D94" w:rsidRPr="009B3B81" w:rsidRDefault="00B51D94" w:rsidP="000727FC">
            <w:r w:rsidRPr="009B3B81">
              <w:t>Q3</w:t>
            </w:r>
          </w:p>
        </w:tc>
        <w:tc>
          <w:tcPr>
            <w:tcW w:w="1118" w:type="dxa"/>
          </w:tcPr>
          <w:p w:rsidR="00B51D94" w:rsidRPr="009B3B81" w:rsidRDefault="00B51D94" w:rsidP="000727FC">
            <w:r w:rsidRPr="009B3B81">
              <w:t>263</w:t>
            </w:r>
          </w:p>
        </w:tc>
        <w:tc>
          <w:tcPr>
            <w:tcW w:w="1117" w:type="dxa"/>
          </w:tcPr>
          <w:p w:rsidR="00B51D94" w:rsidRPr="00B51D94" w:rsidRDefault="00B51D94" w:rsidP="000727FC">
            <w:pPr>
              <w:rPr>
                <w:color w:val="BFBFBF" w:themeColor="background1" w:themeShade="BF"/>
              </w:rPr>
            </w:pPr>
            <w:r w:rsidRPr="00B51D94">
              <w:rPr>
                <w:color w:val="BFBFBF" w:themeColor="background1" w:themeShade="BF"/>
              </w:rPr>
              <w:t>253</w:t>
            </w:r>
          </w:p>
        </w:tc>
        <w:tc>
          <w:tcPr>
            <w:tcW w:w="1117" w:type="dxa"/>
          </w:tcPr>
          <w:p w:rsidR="00B51D94" w:rsidRPr="00B51D94" w:rsidRDefault="00B51D94" w:rsidP="000727FC">
            <w:pPr>
              <w:rPr>
                <w:color w:val="BFBFBF" w:themeColor="background1" w:themeShade="BF"/>
              </w:rPr>
            </w:pPr>
            <w:r w:rsidRPr="00B51D94">
              <w:rPr>
                <w:color w:val="BFBFBF" w:themeColor="background1" w:themeShade="BF"/>
              </w:rPr>
              <w:t>104.0%</w:t>
            </w:r>
          </w:p>
        </w:tc>
        <w:tc>
          <w:tcPr>
            <w:tcW w:w="1118" w:type="dxa"/>
          </w:tcPr>
          <w:p w:rsidR="00B51D94" w:rsidRPr="00B51D94" w:rsidRDefault="00B51D94" w:rsidP="000727FC">
            <w:pPr>
              <w:rPr>
                <w:color w:val="BFBFBF" w:themeColor="background1" w:themeShade="BF"/>
              </w:rPr>
            </w:pPr>
          </w:p>
        </w:tc>
        <w:tc>
          <w:tcPr>
            <w:tcW w:w="1118" w:type="dxa"/>
          </w:tcPr>
          <w:p w:rsidR="00B51D94" w:rsidRDefault="00B51D94" w:rsidP="00433967">
            <w:pPr>
              <w:jc w:val="both"/>
              <w:rPr>
                <w:rFonts w:eastAsiaTheme="minorEastAsia"/>
              </w:rPr>
            </w:pPr>
          </w:p>
        </w:tc>
      </w:tr>
      <w:tr w:rsidR="00B51D94" w:rsidTr="00AA080C">
        <w:tc>
          <w:tcPr>
            <w:tcW w:w="1118" w:type="dxa"/>
          </w:tcPr>
          <w:p w:rsidR="00B51D94" w:rsidRPr="009B3B81" w:rsidRDefault="00B51D94" w:rsidP="000727FC">
            <w:r w:rsidRPr="009B3B81">
              <w:t>2008</w:t>
            </w:r>
          </w:p>
        </w:tc>
        <w:tc>
          <w:tcPr>
            <w:tcW w:w="1118" w:type="dxa"/>
          </w:tcPr>
          <w:p w:rsidR="00B51D94" w:rsidRPr="009B3B81" w:rsidRDefault="00B51D94" w:rsidP="000727FC">
            <w:r w:rsidRPr="009B3B81">
              <w:t>Q4</w:t>
            </w:r>
          </w:p>
        </w:tc>
        <w:tc>
          <w:tcPr>
            <w:tcW w:w="1118" w:type="dxa"/>
          </w:tcPr>
          <w:p w:rsidR="00B51D94" w:rsidRPr="009B3B81" w:rsidRDefault="00B51D94" w:rsidP="000727FC">
            <w:r w:rsidRPr="009B3B81">
              <w:t>248</w:t>
            </w:r>
          </w:p>
        </w:tc>
        <w:tc>
          <w:tcPr>
            <w:tcW w:w="1117" w:type="dxa"/>
          </w:tcPr>
          <w:p w:rsidR="00B51D94" w:rsidRPr="00B51D94" w:rsidRDefault="00B51D94" w:rsidP="000727FC">
            <w:pPr>
              <w:rPr>
                <w:color w:val="BFBFBF" w:themeColor="background1" w:themeShade="BF"/>
              </w:rPr>
            </w:pPr>
          </w:p>
        </w:tc>
        <w:tc>
          <w:tcPr>
            <w:tcW w:w="1117" w:type="dxa"/>
          </w:tcPr>
          <w:p w:rsidR="00B51D94" w:rsidRPr="00B51D94" w:rsidRDefault="00B51D94" w:rsidP="000727FC">
            <w:pPr>
              <w:rPr>
                <w:color w:val="BFBFBF" w:themeColor="background1" w:themeShade="BF"/>
              </w:rPr>
            </w:pPr>
          </w:p>
        </w:tc>
        <w:tc>
          <w:tcPr>
            <w:tcW w:w="1118" w:type="dxa"/>
          </w:tcPr>
          <w:p w:rsidR="00B51D94" w:rsidRPr="00B51D94" w:rsidRDefault="00B51D94" w:rsidP="000727FC">
            <w:pPr>
              <w:rPr>
                <w:color w:val="BFBFBF" w:themeColor="background1" w:themeShade="BF"/>
              </w:rPr>
            </w:pPr>
          </w:p>
        </w:tc>
        <w:tc>
          <w:tcPr>
            <w:tcW w:w="1118" w:type="dxa"/>
          </w:tcPr>
          <w:p w:rsidR="00B51D94" w:rsidRDefault="00B51D94" w:rsidP="00433967">
            <w:pPr>
              <w:jc w:val="both"/>
              <w:rPr>
                <w:rFonts w:eastAsiaTheme="minorEastAsia"/>
              </w:rPr>
            </w:pPr>
          </w:p>
        </w:tc>
      </w:tr>
    </w:tbl>
    <w:p w:rsidR="00B51D94" w:rsidRDefault="00B51D94" w:rsidP="00433967">
      <w:pPr>
        <w:ind w:left="1418" w:hanging="567"/>
        <w:jc w:val="both"/>
        <w:rPr>
          <w:rFonts w:eastAsiaTheme="minorEastAsia"/>
        </w:rPr>
      </w:pPr>
    </w:p>
    <w:p w:rsidR="00AA080C" w:rsidRPr="00B47E22" w:rsidRDefault="00AA080C" w:rsidP="00433967">
      <w:pPr>
        <w:ind w:left="1418" w:hanging="567"/>
        <w:jc w:val="both"/>
        <w:rPr>
          <w:rFonts w:eastAsiaTheme="minorEastAsia"/>
        </w:rPr>
      </w:pPr>
      <w:r>
        <w:rPr>
          <w:rFonts w:eastAsiaTheme="minorEastAsia"/>
        </w:rPr>
        <w:t>(d)</w:t>
      </w:r>
      <w:r>
        <w:rPr>
          <w:rFonts w:eastAsiaTheme="minorEastAsia"/>
        </w:rPr>
        <w:tab/>
        <w:t xml:space="preserve">The seasonal adjustments of part (c) </w:t>
      </w:r>
      <w:proofErr w:type="gramStart"/>
      <w:r>
        <w:rPr>
          <w:rFonts w:eastAsiaTheme="minorEastAsia"/>
        </w:rPr>
        <w:t>leads</w:t>
      </w:r>
      <w:proofErr w:type="gramEnd"/>
      <w:r>
        <w:rPr>
          <w:rFonts w:eastAsiaTheme="minorEastAsia"/>
        </w:rPr>
        <w:t xml:space="preserve"> to the seasonally adjusted data</w:t>
      </w:r>
    </w:p>
    <w:tbl>
      <w:tblPr>
        <w:tblStyle w:val="TableGrid"/>
        <w:tblW w:w="0" w:type="auto"/>
        <w:tblInd w:w="1526" w:type="dxa"/>
        <w:tblLook w:val="04A0"/>
      </w:tblPr>
      <w:tblGrid>
        <w:gridCol w:w="1118"/>
        <w:gridCol w:w="1118"/>
        <w:gridCol w:w="2266"/>
      </w:tblGrid>
      <w:tr w:rsidR="00AA080C" w:rsidRPr="009B3B81" w:rsidTr="00AA080C">
        <w:tc>
          <w:tcPr>
            <w:tcW w:w="1118" w:type="dxa"/>
          </w:tcPr>
          <w:p w:rsidR="00AA080C" w:rsidRPr="009B3B81" w:rsidRDefault="00AA080C" w:rsidP="000727FC">
            <w:r w:rsidRPr="009B3B81">
              <w:t>Year</w:t>
            </w:r>
          </w:p>
        </w:tc>
        <w:tc>
          <w:tcPr>
            <w:tcW w:w="1118" w:type="dxa"/>
          </w:tcPr>
          <w:p w:rsidR="00AA080C" w:rsidRPr="009B3B81" w:rsidRDefault="00AA080C" w:rsidP="000727FC">
            <w:r w:rsidRPr="009B3B81">
              <w:t>Quarter</w:t>
            </w:r>
          </w:p>
        </w:tc>
        <w:tc>
          <w:tcPr>
            <w:tcW w:w="2266" w:type="dxa"/>
          </w:tcPr>
          <w:p w:rsidR="00AA080C" w:rsidRPr="003B1F40" w:rsidRDefault="00AA080C" w:rsidP="000727FC">
            <w:r w:rsidRPr="003B1F40">
              <w:t>De-</w:t>
            </w:r>
            <w:proofErr w:type="spellStart"/>
            <w:r w:rsidRPr="003B1F40">
              <w:t>seasonalised</w:t>
            </w:r>
            <w:proofErr w:type="spellEnd"/>
            <w:r w:rsidRPr="003B1F40">
              <w:t xml:space="preserve"> series</w:t>
            </w:r>
          </w:p>
        </w:tc>
      </w:tr>
      <w:tr w:rsidR="00AA080C" w:rsidRPr="009B3B81" w:rsidTr="00AA080C">
        <w:tc>
          <w:tcPr>
            <w:tcW w:w="1118" w:type="dxa"/>
          </w:tcPr>
          <w:p w:rsidR="00AA080C" w:rsidRPr="009B3B81" w:rsidRDefault="00AA080C" w:rsidP="000727FC">
            <w:r w:rsidRPr="009B3B81">
              <w:t>2006</w:t>
            </w:r>
          </w:p>
        </w:tc>
        <w:tc>
          <w:tcPr>
            <w:tcW w:w="1118" w:type="dxa"/>
          </w:tcPr>
          <w:p w:rsidR="00AA080C" w:rsidRPr="009B3B81" w:rsidRDefault="00AA080C" w:rsidP="000727FC">
            <w:r w:rsidRPr="009B3B81">
              <w:t>Q1</w:t>
            </w:r>
          </w:p>
        </w:tc>
        <w:tc>
          <w:tcPr>
            <w:tcW w:w="2266" w:type="dxa"/>
          </w:tcPr>
          <w:p w:rsidR="00AA080C" w:rsidRPr="003B1F40" w:rsidRDefault="00AA080C" w:rsidP="000727FC">
            <w:r w:rsidRPr="003B1F40">
              <w:t>235.644</w:t>
            </w:r>
          </w:p>
        </w:tc>
      </w:tr>
      <w:tr w:rsidR="00AA080C" w:rsidRPr="009B3B81" w:rsidTr="00AA080C">
        <w:tc>
          <w:tcPr>
            <w:tcW w:w="1118" w:type="dxa"/>
          </w:tcPr>
          <w:p w:rsidR="00AA080C" w:rsidRPr="009B3B81" w:rsidRDefault="00AA080C" w:rsidP="000727FC">
            <w:r w:rsidRPr="009B3B81">
              <w:t>2006</w:t>
            </w:r>
          </w:p>
        </w:tc>
        <w:tc>
          <w:tcPr>
            <w:tcW w:w="1118" w:type="dxa"/>
          </w:tcPr>
          <w:p w:rsidR="00AA080C" w:rsidRPr="009B3B81" w:rsidRDefault="00AA080C" w:rsidP="000727FC">
            <w:r w:rsidRPr="009B3B81">
              <w:t>Q2</w:t>
            </w:r>
          </w:p>
        </w:tc>
        <w:tc>
          <w:tcPr>
            <w:tcW w:w="2266" w:type="dxa"/>
          </w:tcPr>
          <w:p w:rsidR="00AA080C" w:rsidRPr="003B1F40" w:rsidRDefault="00AA080C" w:rsidP="000727FC">
            <w:r w:rsidRPr="003B1F40">
              <w:t>239.639</w:t>
            </w:r>
          </w:p>
        </w:tc>
      </w:tr>
      <w:tr w:rsidR="00AA080C" w:rsidRPr="009B3B81" w:rsidTr="00AA080C">
        <w:tc>
          <w:tcPr>
            <w:tcW w:w="1118" w:type="dxa"/>
          </w:tcPr>
          <w:p w:rsidR="00AA080C" w:rsidRPr="009B3B81" w:rsidRDefault="00AA080C" w:rsidP="000727FC">
            <w:r w:rsidRPr="009B3B81">
              <w:t>2006</w:t>
            </w:r>
          </w:p>
        </w:tc>
        <w:tc>
          <w:tcPr>
            <w:tcW w:w="1118" w:type="dxa"/>
          </w:tcPr>
          <w:p w:rsidR="00AA080C" w:rsidRPr="009B3B81" w:rsidRDefault="00AA080C" w:rsidP="000727FC">
            <w:r w:rsidRPr="009B3B81">
              <w:t>Q3</w:t>
            </w:r>
          </w:p>
        </w:tc>
        <w:tc>
          <w:tcPr>
            <w:tcW w:w="2266" w:type="dxa"/>
          </w:tcPr>
          <w:p w:rsidR="00AA080C" w:rsidRPr="003B1F40" w:rsidRDefault="00AA080C" w:rsidP="000727FC">
            <w:r w:rsidRPr="003B1F40">
              <w:t>233.760</w:t>
            </w:r>
          </w:p>
        </w:tc>
      </w:tr>
      <w:tr w:rsidR="00AA080C" w:rsidRPr="009B3B81" w:rsidTr="00AA080C">
        <w:tc>
          <w:tcPr>
            <w:tcW w:w="1118" w:type="dxa"/>
          </w:tcPr>
          <w:p w:rsidR="00AA080C" w:rsidRPr="009B3B81" w:rsidRDefault="00AA080C" w:rsidP="000727FC">
            <w:r w:rsidRPr="009B3B81">
              <w:t>2006</w:t>
            </w:r>
          </w:p>
        </w:tc>
        <w:tc>
          <w:tcPr>
            <w:tcW w:w="1118" w:type="dxa"/>
          </w:tcPr>
          <w:p w:rsidR="00AA080C" w:rsidRPr="009B3B81" w:rsidRDefault="00AA080C" w:rsidP="000727FC">
            <w:r w:rsidRPr="009B3B81">
              <w:t>Q4</w:t>
            </w:r>
          </w:p>
        </w:tc>
        <w:tc>
          <w:tcPr>
            <w:tcW w:w="2266" w:type="dxa"/>
          </w:tcPr>
          <w:p w:rsidR="00AA080C" w:rsidRPr="003B1F40" w:rsidRDefault="00AA080C" w:rsidP="000727FC">
            <w:r w:rsidRPr="003B1F40">
              <w:t>231.821</w:t>
            </w:r>
          </w:p>
        </w:tc>
      </w:tr>
      <w:tr w:rsidR="00AA080C" w:rsidRPr="009B3B81" w:rsidTr="00AA080C">
        <w:tc>
          <w:tcPr>
            <w:tcW w:w="1118" w:type="dxa"/>
          </w:tcPr>
          <w:p w:rsidR="00AA080C" w:rsidRPr="009B3B81" w:rsidRDefault="00AA080C" w:rsidP="000727FC">
            <w:r w:rsidRPr="009B3B81">
              <w:t>2007</w:t>
            </w:r>
          </w:p>
        </w:tc>
        <w:tc>
          <w:tcPr>
            <w:tcW w:w="1118" w:type="dxa"/>
          </w:tcPr>
          <w:p w:rsidR="00AA080C" w:rsidRPr="009B3B81" w:rsidRDefault="00AA080C" w:rsidP="000727FC">
            <w:r w:rsidRPr="009B3B81">
              <w:t>Q1</w:t>
            </w:r>
          </w:p>
        </w:tc>
        <w:tc>
          <w:tcPr>
            <w:tcW w:w="2266" w:type="dxa"/>
          </w:tcPr>
          <w:p w:rsidR="00AA080C" w:rsidRPr="003B1F40" w:rsidRDefault="00AA080C" w:rsidP="000727FC">
            <w:r w:rsidRPr="003B1F40">
              <w:t>205.378</w:t>
            </w:r>
          </w:p>
        </w:tc>
      </w:tr>
      <w:tr w:rsidR="00AA080C" w:rsidRPr="009B3B81" w:rsidTr="00AA080C">
        <w:tc>
          <w:tcPr>
            <w:tcW w:w="1118" w:type="dxa"/>
          </w:tcPr>
          <w:p w:rsidR="00AA080C" w:rsidRPr="009B3B81" w:rsidRDefault="00AA080C" w:rsidP="000727FC">
            <w:r w:rsidRPr="009B3B81">
              <w:t>2007</w:t>
            </w:r>
          </w:p>
        </w:tc>
        <w:tc>
          <w:tcPr>
            <w:tcW w:w="1118" w:type="dxa"/>
          </w:tcPr>
          <w:p w:rsidR="00AA080C" w:rsidRPr="009B3B81" w:rsidRDefault="00AA080C" w:rsidP="000727FC">
            <w:r w:rsidRPr="009B3B81">
              <w:t>Q2</w:t>
            </w:r>
          </w:p>
        </w:tc>
        <w:tc>
          <w:tcPr>
            <w:tcW w:w="2266" w:type="dxa"/>
          </w:tcPr>
          <w:p w:rsidR="00AA080C" w:rsidRPr="003B1F40" w:rsidRDefault="00AA080C" w:rsidP="000727FC">
            <w:r w:rsidRPr="003B1F40">
              <w:t>210.882</w:t>
            </w:r>
          </w:p>
        </w:tc>
      </w:tr>
      <w:tr w:rsidR="00AA080C" w:rsidRPr="009B3B81" w:rsidTr="00AA080C">
        <w:tc>
          <w:tcPr>
            <w:tcW w:w="1118" w:type="dxa"/>
          </w:tcPr>
          <w:p w:rsidR="00AA080C" w:rsidRPr="009B3B81" w:rsidRDefault="00AA080C" w:rsidP="000727FC">
            <w:r w:rsidRPr="009B3B81">
              <w:t>2007</w:t>
            </w:r>
          </w:p>
        </w:tc>
        <w:tc>
          <w:tcPr>
            <w:tcW w:w="1118" w:type="dxa"/>
          </w:tcPr>
          <w:p w:rsidR="00AA080C" w:rsidRPr="009B3B81" w:rsidRDefault="00AA080C" w:rsidP="000727FC">
            <w:r w:rsidRPr="009B3B81">
              <w:t>Q3</w:t>
            </w:r>
          </w:p>
        </w:tc>
        <w:tc>
          <w:tcPr>
            <w:tcW w:w="2266" w:type="dxa"/>
          </w:tcPr>
          <w:p w:rsidR="00AA080C" w:rsidRPr="003B1F40" w:rsidRDefault="00AA080C" w:rsidP="000727FC">
            <w:r w:rsidRPr="003B1F40">
              <w:t>218.431</w:t>
            </w:r>
          </w:p>
        </w:tc>
      </w:tr>
      <w:tr w:rsidR="00AA080C" w:rsidRPr="009B3B81" w:rsidTr="00AA080C">
        <w:tc>
          <w:tcPr>
            <w:tcW w:w="1118" w:type="dxa"/>
          </w:tcPr>
          <w:p w:rsidR="00AA080C" w:rsidRPr="009B3B81" w:rsidRDefault="00AA080C" w:rsidP="000727FC">
            <w:r w:rsidRPr="009B3B81">
              <w:t>2007</w:t>
            </w:r>
          </w:p>
        </w:tc>
        <w:tc>
          <w:tcPr>
            <w:tcW w:w="1118" w:type="dxa"/>
          </w:tcPr>
          <w:p w:rsidR="00AA080C" w:rsidRPr="009B3B81" w:rsidRDefault="00AA080C" w:rsidP="000727FC">
            <w:r w:rsidRPr="009B3B81">
              <w:t>Q4</w:t>
            </w:r>
          </w:p>
        </w:tc>
        <w:tc>
          <w:tcPr>
            <w:tcW w:w="2266" w:type="dxa"/>
          </w:tcPr>
          <w:p w:rsidR="00AA080C" w:rsidRPr="003B1F40" w:rsidRDefault="00AA080C" w:rsidP="000727FC">
            <w:r w:rsidRPr="003B1F40">
              <w:t>223.722</w:t>
            </w:r>
          </w:p>
        </w:tc>
      </w:tr>
      <w:tr w:rsidR="00AA080C" w:rsidRPr="009B3B81" w:rsidTr="00AA080C">
        <w:tc>
          <w:tcPr>
            <w:tcW w:w="1118" w:type="dxa"/>
          </w:tcPr>
          <w:p w:rsidR="00AA080C" w:rsidRPr="009B3B81" w:rsidRDefault="00AA080C" w:rsidP="000727FC">
            <w:r w:rsidRPr="009B3B81">
              <w:t>2008</w:t>
            </w:r>
          </w:p>
        </w:tc>
        <w:tc>
          <w:tcPr>
            <w:tcW w:w="1118" w:type="dxa"/>
          </w:tcPr>
          <w:p w:rsidR="00AA080C" w:rsidRPr="009B3B81" w:rsidRDefault="00AA080C" w:rsidP="000727FC">
            <w:r w:rsidRPr="009B3B81">
              <w:t>Q1</w:t>
            </w:r>
          </w:p>
        </w:tc>
        <w:tc>
          <w:tcPr>
            <w:tcW w:w="2266" w:type="dxa"/>
          </w:tcPr>
          <w:p w:rsidR="00AA080C" w:rsidRPr="003B1F40" w:rsidRDefault="00AA080C" w:rsidP="000727FC">
            <w:r w:rsidRPr="003B1F40">
              <w:t>255.101</w:t>
            </w:r>
          </w:p>
        </w:tc>
      </w:tr>
      <w:tr w:rsidR="00AA080C" w:rsidRPr="009B3B81" w:rsidTr="00AA080C">
        <w:tc>
          <w:tcPr>
            <w:tcW w:w="1118" w:type="dxa"/>
          </w:tcPr>
          <w:p w:rsidR="00AA080C" w:rsidRPr="009B3B81" w:rsidRDefault="00AA080C" w:rsidP="000727FC">
            <w:r w:rsidRPr="009B3B81">
              <w:t>2008</w:t>
            </w:r>
          </w:p>
        </w:tc>
        <w:tc>
          <w:tcPr>
            <w:tcW w:w="1118" w:type="dxa"/>
          </w:tcPr>
          <w:p w:rsidR="00AA080C" w:rsidRPr="009B3B81" w:rsidRDefault="00AA080C" w:rsidP="000727FC">
            <w:r w:rsidRPr="009B3B81">
              <w:t>Q2</w:t>
            </w:r>
          </w:p>
        </w:tc>
        <w:tc>
          <w:tcPr>
            <w:tcW w:w="2266" w:type="dxa"/>
          </w:tcPr>
          <w:p w:rsidR="00AA080C" w:rsidRPr="003B1F40" w:rsidRDefault="00AA080C" w:rsidP="000727FC">
            <w:r w:rsidRPr="003B1F40">
              <w:t>254.017</w:t>
            </w:r>
          </w:p>
        </w:tc>
      </w:tr>
      <w:tr w:rsidR="00AA080C" w:rsidRPr="009B3B81" w:rsidTr="00AA080C">
        <w:tc>
          <w:tcPr>
            <w:tcW w:w="1118" w:type="dxa"/>
          </w:tcPr>
          <w:p w:rsidR="00AA080C" w:rsidRPr="009B3B81" w:rsidRDefault="00AA080C" w:rsidP="000727FC">
            <w:r w:rsidRPr="009B3B81">
              <w:t>2008</w:t>
            </w:r>
          </w:p>
        </w:tc>
        <w:tc>
          <w:tcPr>
            <w:tcW w:w="1118" w:type="dxa"/>
          </w:tcPr>
          <w:p w:rsidR="00AA080C" w:rsidRPr="009B3B81" w:rsidRDefault="00AA080C" w:rsidP="000727FC">
            <w:r w:rsidRPr="009B3B81">
              <w:t>Q3</w:t>
            </w:r>
          </w:p>
        </w:tc>
        <w:tc>
          <w:tcPr>
            <w:tcW w:w="2266" w:type="dxa"/>
          </w:tcPr>
          <w:p w:rsidR="00AA080C" w:rsidRPr="003B1F40" w:rsidRDefault="00AA080C" w:rsidP="000727FC">
            <w:r w:rsidRPr="003B1F40">
              <w:t>251.962</w:t>
            </w:r>
          </w:p>
        </w:tc>
      </w:tr>
      <w:tr w:rsidR="00AA080C" w:rsidRPr="009B3B81" w:rsidTr="00AA080C">
        <w:tc>
          <w:tcPr>
            <w:tcW w:w="1118" w:type="dxa"/>
          </w:tcPr>
          <w:p w:rsidR="00AA080C" w:rsidRPr="009B3B81" w:rsidRDefault="00AA080C" w:rsidP="000727FC">
            <w:r w:rsidRPr="009B3B81">
              <w:t>2008</w:t>
            </w:r>
          </w:p>
        </w:tc>
        <w:tc>
          <w:tcPr>
            <w:tcW w:w="1118" w:type="dxa"/>
          </w:tcPr>
          <w:p w:rsidR="00AA080C" w:rsidRPr="009B3B81" w:rsidRDefault="00AA080C" w:rsidP="000727FC">
            <w:r w:rsidRPr="009B3B81">
              <w:t>Q4</w:t>
            </w:r>
          </w:p>
        </w:tc>
        <w:tc>
          <w:tcPr>
            <w:tcW w:w="2266" w:type="dxa"/>
          </w:tcPr>
          <w:p w:rsidR="00AA080C" w:rsidRDefault="00AA080C" w:rsidP="000727FC">
            <w:r w:rsidRPr="003B1F40">
              <w:t>251.055</w:t>
            </w:r>
          </w:p>
        </w:tc>
      </w:tr>
    </w:tbl>
    <w:p w:rsidR="00AA080C" w:rsidRDefault="00AA080C" w:rsidP="00AA080C">
      <w:pPr>
        <w:spacing w:before="240"/>
        <w:ind w:left="1418" w:hanging="567"/>
        <w:jc w:val="both"/>
        <w:rPr>
          <w:rFonts w:eastAsiaTheme="minorEastAsia"/>
        </w:rPr>
      </w:pPr>
      <w:r>
        <w:rPr>
          <w:rFonts w:eastAsiaTheme="minorEastAsia"/>
        </w:rPr>
        <w:tab/>
        <w:t>As in part (b), we fit a straight line to the adjusted data, which becomes</w:t>
      </w:r>
    </w:p>
    <w:p w:rsidR="00AA080C" w:rsidRDefault="00AA080C" w:rsidP="00AA080C">
      <w:pPr>
        <w:ind w:left="1418" w:hanging="567"/>
        <w:jc w:val="both"/>
        <w:rPr>
          <w:rFonts w:eastAsiaTheme="minorEastAsia"/>
        </w:rPr>
      </w:pPr>
      <w:r>
        <w:rPr>
          <w:rFonts w:eastAsiaTheme="minorEastAsia"/>
        </w:rPr>
        <w:tab/>
      </w:r>
      <m:oMath>
        <m:r>
          <w:rPr>
            <w:rFonts w:ascii="Cambria Math" w:eastAsiaTheme="minorEastAsia" w:hAnsi="Cambria Math"/>
          </w:rPr>
          <m:t>y=-16645+8.4086x</m:t>
        </m:r>
      </m:oMath>
      <w:r>
        <w:rPr>
          <w:rFonts w:eastAsiaTheme="minorEastAsia"/>
        </w:rPr>
        <w:t>.</w:t>
      </w:r>
    </w:p>
    <w:p w:rsidR="00AA080C" w:rsidRPr="00B47E22" w:rsidRDefault="00AA080C" w:rsidP="00AA080C">
      <w:pPr>
        <w:ind w:left="1418" w:hanging="567"/>
        <w:jc w:val="both"/>
        <w:rPr>
          <w:rFonts w:eastAsiaTheme="minorEastAsia"/>
        </w:rPr>
      </w:pPr>
      <w:r>
        <w:rPr>
          <w:rFonts w:eastAsiaTheme="minorEastAsia"/>
        </w:rPr>
        <w:tab/>
        <w:t>The resulting forecasts of the seasonally unadjusted number of clients for the four quarters of 2009 are reported below.</w:t>
      </w:r>
    </w:p>
    <w:tbl>
      <w:tblPr>
        <w:tblStyle w:val="TableGrid"/>
        <w:tblW w:w="6237" w:type="dxa"/>
        <w:tblInd w:w="1526" w:type="dxa"/>
        <w:tblLook w:val="04A0"/>
      </w:tblPr>
      <w:tblGrid>
        <w:gridCol w:w="992"/>
        <w:gridCol w:w="5245"/>
      </w:tblGrid>
      <w:tr w:rsidR="00AA080C" w:rsidTr="00AA080C">
        <w:tc>
          <w:tcPr>
            <w:tcW w:w="992" w:type="dxa"/>
            <w:vAlign w:val="bottom"/>
          </w:tcPr>
          <w:p w:rsidR="00AA080C" w:rsidRDefault="00AA080C" w:rsidP="000727FC">
            <w:pPr>
              <w:rPr>
                <w:rFonts w:ascii="Calibri" w:hAnsi="Calibri"/>
                <w:color w:val="000000"/>
              </w:rPr>
            </w:pPr>
            <w:r>
              <w:rPr>
                <w:rFonts w:ascii="Calibri" w:hAnsi="Calibri"/>
                <w:color w:val="000000"/>
              </w:rPr>
              <w:t> Quarter</w:t>
            </w:r>
          </w:p>
        </w:tc>
        <w:tc>
          <w:tcPr>
            <w:tcW w:w="5245" w:type="dxa"/>
            <w:vAlign w:val="bottom"/>
          </w:tcPr>
          <w:p w:rsidR="00AA080C" w:rsidRDefault="00AA080C" w:rsidP="000727FC">
            <w:pPr>
              <w:jc w:val="center"/>
              <w:rPr>
                <w:rFonts w:ascii="Calibri" w:hAnsi="Calibri"/>
                <w:color w:val="000000"/>
              </w:rPr>
            </w:pPr>
            <w:r>
              <w:rPr>
                <w:rFonts w:eastAsiaTheme="minorEastAsia"/>
              </w:rPr>
              <w:t>Seasonally unadjusted</w:t>
            </w:r>
            <w:r>
              <w:rPr>
                <w:rFonts w:ascii="Calibri" w:hAnsi="Calibri"/>
                <w:color w:val="000000"/>
              </w:rPr>
              <w:t xml:space="preserve"> Forecast number of new clients</w:t>
            </w:r>
          </w:p>
        </w:tc>
      </w:tr>
      <w:tr w:rsidR="00AA080C" w:rsidTr="00AA080C">
        <w:tc>
          <w:tcPr>
            <w:tcW w:w="992" w:type="dxa"/>
            <w:vAlign w:val="bottom"/>
          </w:tcPr>
          <w:p w:rsidR="00AA080C" w:rsidRDefault="00AA080C" w:rsidP="00AA080C">
            <w:pPr>
              <w:jc w:val="center"/>
              <w:rPr>
                <w:rFonts w:ascii="Calibri" w:hAnsi="Calibri"/>
                <w:color w:val="000000"/>
              </w:rPr>
            </w:pPr>
            <w:r>
              <w:rPr>
                <w:rFonts w:ascii="Calibri" w:hAnsi="Calibri"/>
                <w:color w:val="000000"/>
              </w:rPr>
              <w:t>Q1</w:t>
            </w:r>
          </w:p>
        </w:tc>
        <w:tc>
          <w:tcPr>
            <w:tcW w:w="5245" w:type="dxa"/>
          </w:tcPr>
          <w:p w:rsidR="00AA080C" w:rsidRPr="00177FA6" w:rsidRDefault="00AA080C" w:rsidP="00CF3C27">
            <w:pPr>
              <w:jc w:val="center"/>
            </w:pPr>
            <w:r w:rsidRPr="00177FA6">
              <w:t>247.95</w:t>
            </w:r>
          </w:p>
        </w:tc>
      </w:tr>
      <w:tr w:rsidR="00AA080C" w:rsidTr="00AA080C">
        <w:tc>
          <w:tcPr>
            <w:tcW w:w="992" w:type="dxa"/>
            <w:vAlign w:val="bottom"/>
          </w:tcPr>
          <w:p w:rsidR="00AA080C" w:rsidRDefault="00AA080C" w:rsidP="00AA080C">
            <w:pPr>
              <w:jc w:val="center"/>
              <w:rPr>
                <w:rFonts w:ascii="Calibri" w:hAnsi="Calibri"/>
                <w:color w:val="000000"/>
              </w:rPr>
            </w:pPr>
            <w:r>
              <w:rPr>
                <w:rFonts w:ascii="Calibri" w:hAnsi="Calibri"/>
                <w:color w:val="000000"/>
              </w:rPr>
              <w:t>Q2</w:t>
            </w:r>
          </w:p>
        </w:tc>
        <w:tc>
          <w:tcPr>
            <w:tcW w:w="5245" w:type="dxa"/>
          </w:tcPr>
          <w:p w:rsidR="00AA080C" w:rsidRPr="00177FA6" w:rsidRDefault="00AA080C" w:rsidP="00CF3C27">
            <w:pPr>
              <w:jc w:val="center"/>
            </w:pPr>
            <w:r w:rsidRPr="00177FA6">
              <w:t>250.05</w:t>
            </w:r>
          </w:p>
        </w:tc>
      </w:tr>
      <w:tr w:rsidR="00AA080C" w:rsidTr="00AA080C">
        <w:tc>
          <w:tcPr>
            <w:tcW w:w="992" w:type="dxa"/>
            <w:vAlign w:val="bottom"/>
          </w:tcPr>
          <w:p w:rsidR="00AA080C" w:rsidRDefault="00AA080C" w:rsidP="00AA080C">
            <w:pPr>
              <w:jc w:val="center"/>
              <w:rPr>
                <w:rFonts w:ascii="Calibri" w:hAnsi="Calibri"/>
                <w:color w:val="000000"/>
              </w:rPr>
            </w:pPr>
            <w:r>
              <w:rPr>
                <w:rFonts w:ascii="Calibri" w:hAnsi="Calibri"/>
                <w:color w:val="000000"/>
              </w:rPr>
              <w:t>Q3</w:t>
            </w:r>
          </w:p>
        </w:tc>
        <w:tc>
          <w:tcPr>
            <w:tcW w:w="5245" w:type="dxa"/>
          </w:tcPr>
          <w:p w:rsidR="00AA080C" w:rsidRPr="00177FA6" w:rsidRDefault="00AA080C" w:rsidP="00CF3C27">
            <w:pPr>
              <w:jc w:val="center"/>
            </w:pPr>
            <w:r w:rsidRPr="00177FA6">
              <w:t>252.15</w:t>
            </w:r>
          </w:p>
        </w:tc>
      </w:tr>
      <w:tr w:rsidR="00AA080C" w:rsidTr="00AA080C">
        <w:tc>
          <w:tcPr>
            <w:tcW w:w="992" w:type="dxa"/>
            <w:vAlign w:val="bottom"/>
          </w:tcPr>
          <w:p w:rsidR="00AA080C" w:rsidRDefault="00AA080C" w:rsidP="00AA080C">
            <w:pPr>
              <w:jc w:val="center"/>
              <w:rPr>
                <w:rFonts w:ascii="Calibri" w:hAnsi="Calibri"/>
                <w:color w:val="000000"/>
              </w:rPr>
            </w:pPr>
            <w:r>
              <w:rPr>
                <w:rFonts w:ascii="Calibri" w:hAnsi="Calibri"/>
                <w:color w:val="000000"/>
              </w:rPr>
              <w:t>Q4</w:t>
            </w:r>
          </w:p>
        </w:tc>
        <w:tc>
          <w:tcPr>
            <w:tcW w:w="5245" w:type="dxa"/>
          </w:tcPr>
          <w:p w:rsidR="00AA080C" w:rsidRDefault="00AA080C" w:rsidP="00CF3C27">
            <w:pPr>
              <w:jc w:val="center"/>
            </w:pPr>
            <w:r w:rsidRPr="00177FA6">
              <w:t>254.25</w:t>
            </w:r>
          </w:p>
        </w:tc>
      </w:tr>
    </w:tbl>
    <w:p w:rsidR="00CF3C27" w:rsidRPr="00B47E22" w:rsidRDefault="00CF3C27" w:rsidP="00CF3C27">
      <w:pPr>
        <w:ind w:left="1418" w:hanging="567"/>
        <w:jc w:val="both"/>
        <w:rPr>
          <w:rFonts w:eastAsiaTheme="minorEastAsia"/>
        </w:rPr>
      </w:pPr>
      <w:r>
        <w:rPr>
          <w:rFonts w:eastAsiaTheme="minorEastAsia"/>
        </w:rPr>
        <w:lastRenderedPageBreak/>
        <w:t>(e)</w:t>
      </w:r>
      <w:r>
        <w:rPr>
          <w:rFonts w:eastAsiaTheme="minorEastAsia"/>
        </w:rPr>
        <w:tab/>
        <w:t>The seasonally adjusted forecasts for the four quarters of 2009, together with the corresponding actual numbers of new clients, the absolute forecast error and the squared forecast error, are reported below.</w:t>
      </w:r>
    </w:p>
    <w:tbl>
      <w:tblPr>
        <w:tblStyle w:val="TableGrid"/>
        <w:tblW w:w="8091" w:type="dxa"/>
        <w:tblInd w:w="1526" w:type="dxa"/>
        <w:tblLook w:val="04A0"/>
      </w:tblPr>
      <w:tblGrid>
        <w:gridCol w:w="567"/>
        <w:gridCol w:w="1565"/>
        <w:gridCol w:w="2829"/>
        <w:gridCol w:w="1565"/>
        <w:gridCol w:w="1565"/>
      </w:tblGrid>
      <w:tr w:rsidR="00CF3C27" w:rsidTr="00CF3C27">
        <w:tc>
          <w:tcPr>
            <w:tcW w:w="567" w:type="dxa"/>
            <w:vAlign w:val="bottom"/>
          </w:tcPr>
          <w:p w:rsidR="00CF3C27" w:rsidRDefault="00CF3C27" w:rsidP="000727FC">
            <w:pPr>
              <w:rPr>
                <w:rFonts w:ascii="Calibri" w:hAnsi="Calibri"/>
                <w:color w:val="000000"/>
              </w:rPr>
            </w:pPr>
            <w:r>
              <w:rPr>
                <w:rFonts w:ascii="Calibri" w:hAnsi="Calibri"/>
                <w:color w:val="000000"/>
              </w:rPr>
              <w:t> </w:t>
            </w:r>
          </w:p>
        </w:tc>
        <w:tc>
          <w:tcPr>
            <w:tcW w:w="1565" w:type="dxa"/>
            <w:vAlign w:val="bottom"/>
          </w:tcPr>
          <w:p w:rsidR="00CF3C27" w:rsidRDefault="00CF3C27" w:rsidP="000727FC">
            <w:pPr>
              <w:jc w:val="center"/>
              <w:rPr>
                <w:rFonts w:ascii="Calibri" w:hAnsi="Calibri"/>
                <w:color w:val="000000"/>
              </w:rPr>
            </w:pPr>
            <w:r>
              <w:rPr>
                <w:rFonts w:ascii="Calibri" w:hAnsi="Calibri"/>
                <w:color w:val="000000"/>
              </w:rPr>
              <w:t>Actual number of new clients</w:t>
            </w:r>
          </w:p>
        </w:tc>
        <w:tc>
          <w:tcPr>
            <w:tcW w:w="2829" w:type="dxa"/>
            <w:vAlign w:val="bottom"/>
          </w:tcPr>
          <w:p w:rsidR="00CF3C27" w:rsidRDefault="00CF3C27" w:rsidP="000727FC">
            <w:pPr>
              <w:jc w:val="center"/>
              <w:rPr>
                <w:rFonts w:ascii="Calibri" w:hAnsi="Calibri"/>
                <w:color w:val="000000"/>
              </w:rPr>
            </w:pPr>
            <w:r>
              <w:rPr>
                <w:rFonts w:ascii="Calibri" w:hAnsi="Calibri"/>
                <w:color w:val="000000"/>
              </w:rPr>
              <w:t>Seasonally adjusted forecast number of new clients</w:t>
            </w:r>
          </w:p>
        </w:tc>
        <w:tc>
          <w:tcPr>
            <w:tcW w:w="1565" w:type="dxa"/>
            <w:vAlign w:val="bottom"/>
          </w:tcPr>
          <w:p w:rsidR="00CF3C27" w:rsidRDefault="00CF3C27" w:rsidP="000727FC">
            <w:pPr>
              <w:jc w:val="center"/>
              <w:rPr>
                <w:rFonts w:ascii="Calibri" w:hAnsi="Calibri"/>
                <w:color w:val="000000"/>
              </w:rPr>
            </w:pPr>
            <w:r>
              <w:rPr>
                <w:rFonts w:ascii="Calibri" w:hAnsi="Calibri"/>
                <w:color w:val="000000"/>
              </w:rPr>
              <w:t>Absolute forecast error</w:t>
            </w:r>
          </w:p>
        </w:tc>
        <w:tc>
          <w:tcPr>
            <w:tcW w:w="1565" w:type="dxa"/>
            <w:vAlign w:val="bottom"/>
          </w:tcPr>
          <w:p w:rsidR="00CF3C27" w:rsidRDefault="00CF3C27" w:rsidP="000727FC">
            <w:pPr>
              <w:jc w:val="center"/>
              <w:rPr>
                <w:rFonts w:ascii="Calibri" w:hAnsi="Calibri"/>
                <w:color w:val="000000"/>
              </w:rPr>
            </w:pPr>
            <w:r>
              <w:rPr>
                <w:rFonts w:ascii="Calibri" w:hAnsi="Calibri"/>
                <w:color w:val="000000"/>
              </w:rPr>
              <w:t>Squared forecast error</w:t>
            </w:r>
          </w:p>
        </w:tc>
      </w:tr>
      <w:tr w:rsidR="00CF3C27" w:rsidTr="00CF3C27">
        <w:tc>
          <w:tcPr>
            <w:tcW w:w="567" w:type="dxa"/>
            <w:vAlign w:val="bottom"/>
          </w:tcPr>
          <w:p w:rsidR="00CF3C27" w:rsidRDefault="00CF3C27" w:rsidP="00CF3C27">
            <w:pPr>
              <w:jc w:val="center"/>
              <w:rPr>
                <w:rFonts w:ascii="Calibri" w:hAnsi="Calibri"/>
                <w:color w:val="000000"/>
              </w:rPr>
            </w:pPr>
            <w:r>
              <w:rPr>
                <w:rFonts w:ascii="Calibri" w:hAnsi="Calibri"/>
                <w:color w:val="000000"/>
              </w:rPr>
              <w:t>Q1</w:t>
            </w:r>
          </w:p>
        </w:tc>
        <w:tc>
          <w:tcPr>
            <w:tcW w:w="1565" w:type="dxa"/>
            <w:vAlign w:val="bottom"/>
          </w:tcPr>
          <w:p w:rsidR="00CF3C27" w:rsidRDefault="00CF3C27" w:rsidP="00CF3C27">
            <w:pPr>
              <w:jc w:val="center"/>
              <w:rPr>
                <w:rFonts w:ascii="Calibri" w:hAnsi="Calibri"/>
                <w:color w:val="000000"/>
              </w:rPr>
            </w:pPr>
            <w:r>
              <w:rPr>
                <w:rFonts w:ascii="Calibri" w:hAnsi="Calibri"/>
                <w:color w:val="000000"/>
              </w:rPr>
              <w:t>218</w:t>
            </w:r>
          </w:p>
        </w:tc>
        <w:tc>
          <w:tcPr>
            <w:tcW w:w="2829" w:type="dxa"/>
          </w:tcPr>
          <w:p w:rsidR="00CF3C27" w:rsidRPr="007D6149" w:rsidRDefault="00CF3C27" w:rsidP="00CF3C27">
            <w:pPr>
              <w:jc w:val="center"/>
            </w:pPr>
            <w:r w:rsidRPr="007D6149">
              <w:t>229.38</w:t>
            </w:r>
          </w:p>
        </w:tc>
        <w:tc>
          <w:tcPr>
            <w:tcW w:w="1565" w:type="dxa"/>
          </w:tcPr>
          <w:p w:rsidR="00CF3C27" w:rsidRPr="007D6149" w:rsidRDefault="00CF3C27" w:rsidP="00CF3C27">
            <w:pPr>
              <w:jc w:val="center"/>
            </w:pPr>
            <w:r w:rsidRPr="007D6149">
              <w:t>11.38</w:t>
            </w:r>
          </w:p>
        </w:tc>
        <w:tc>
          <w:tcPr>
            <w:tcW w:w="1565" w:type="dxa"/>
          </w:tcPr>
          <w:p w:rsidR="00CF3C27" w:rsidRPr="007D6149" w:rsidRDefault="00CF3C27" w:rsidP="00CF3C27">
            <w:pPr>
              <w:jc w:val="center"/>
            </w:pPr>
            <w:r w:rsidRPr="007D6149">
              <w:t>129.58</w:t>
            </w:r>
          </w:p>
        </w:tc>
      </w:tr>
      <w:tr w:rsidR="00CF3C27" w:rsidTr="00CF3C27">
        <w:tc>
          <w:tcPr>
            <w:tcW w:w="567" w:type="dxa"/>
            <w:vAlign w:val="bottom"/>
          </w:tcPr>
          <w:p w:rsidR="00CF3C27" w:rsidRDefault="00CF3C27" w:rsidP="00CF3C27">
            <w:pPr>
              <w:jc w:val="center"/>
              <w:rPr>
                <w:rFonts w:ascii="Calibri" w:hAnsi="Calibri"/>
                <w:color w:val="000000"/>
              </w:rPr>
            </w:pPr>
            <w:r>
              <w:rPr>
                <w:rFonts w:ascii="Calibri" w:hAnsi="Calibri"/>
                <w:color w:val="000000"/>
              </w:rPr>
              <w:t>Q2</w:t>
            </w:r>
          </w:p>
        </w:tc>
        <w:tc>
          <w:tcPr>
            <w:tcW w:w="1565" w:type="dxa"/>
            <w:vAlign w:val="bottom"/>
          </w:tcPr>
          <w:p w:rsidR="00CF3C27" w:rsidRDefault="00CF3C27" w:rsidP="00CF3C27">
            <w:pPr>
              <w:jc w:val="center"/>
              <w:rPr>
                <w:rFonts w:ascii="Calibri" w:hAnsi="Calibri"/>
                <w:color w:val="000000"/>
              </w:rPr>
            </w:pPr>
            <w:r>
              <w:rPr>
                <w:rFonts w:ascii="Calibri" w:hAnsi="Calibri"/>
                <w:color w:val="000000"/>
              </w:rPr>
              <w:t>241</w:t>
            </w:r>
          </w:p>
        </w:tc>
        <w:tc>
          <w:tcPr>
            <w:tcW w:w="2829" w:type="dxa"/>
          </w:tcPr>
          <w:p w:rsidR="00CF3C27" w:rsidRPr="007D6149" w:rsidRDefault="00CF3C27" w:rsidP="00CF3C27">
            <w:pPr>
              <w:jc w:val="center"/>
            </w:pPr>
            <w:r w:rsidRPr="007D6149">
              <w:t>260.86</w:t>
            </w:r>
          </w:p>
        </w:tc>
        <w:tc>
          <w:tcPr>
            <w:tcW w:w="1565" w:type="dxa"/>
          </w:tcPr>
          <w:p w:rsidR="00CF3C27" w:rsidRPr="007D6149" w:rsidRDefault="00CF3C27" w:rsidP="00CF3C27">
            <w:pPr>
              <w:jc w:val="center"/>
            </w:pPr>
            <w:r w:rsidRPr="007D6149">
              <w:t>19.86</w:t>
            </w:r>
          </w:p>
        </w:tc>
        <w:tc>
          <w:tcPr>
            <w:tcW w:w="1565" w:type="dxa"/>
          </w:tcPr>
          <w:p w:rsidR="00CF3C27" w:rsidRPr="007D6149" w:rsidRDefault="00CF3C27" w:rsidP="00CF3C27">
            <w:pPr>
              <w:jc w:val="center"/>
            </w:pPr>
            <w:r w:rsidRPr="007D6149">
              <w:t>394.49</w:t>
            </w:r>
          </w:p>
        </w:tc>
      </w:tr>
      <w:tr w:rsidR="00CF3C27" w:rsidTr="00CF3C27">
        <w:tc>
          <w:tcPr>
            <w:tcW w:w="567" w:type="dxa"/>
            <w:vAlign w:val="bottom"/>
          </w:tcPr>
          <w:p w:rsidR="00CF3C27" w:rsidRDefault="00CF3C27" w:rsidP="00CF3C27">
            <w:pPr>
              <w:jc w:val="center"/>
              <w:rPr>
                <w:rFonts w:ascii="Calibri" w:hAnsi="Calibri"/>
                <w:color w:val="000000"/>
              </w:rPr>
            </w:pPr>
            <w:r>
              <w:rPr>
                <w:rFonts w:ascii="Calibri" w:hAnsi="Calibri"/>
                <w:color w:val="000000"/>
              </w:rPr>
              <w:t>Q3</w:t>
            </w:r>
          </w:p>
        </w:tc>
        <w:tc>
          <w:tcPr>
            <w:tcW w:w="1565" w:type="dxa"/>
            <w:vAlign w:val="bottom"/>
          </w:tcPr>
          <w:p w:rsidR="00CF3C27" w:rsidRDefault="00CF3C27" w:rsidP="00CF3C27">
            <w:pPr>
              <w:jc w:val="center"/>
              <w:rPr>
                <w:rFonts w:ascii="Calibri" w:hAnsi="Calibri"/>
                <w:color w:val="000000"/>
              </w:rPr>
            </w:pPr>
            <w:r>
              <w:rPr>
                <w:rFonts w:ascii="Calibri" w:hAnsi="Calibri"/>
                <w:color w:val="000000"/>
              </w:rPr>
              <w:t>240</w:t>
            </w:r>
          </w:p>
        </w:tc>
        <w:tc>
          <w:tcPr>
            <w:tcW w:w="2829" w:type="dxa"/>
          </w:tcPr>
          <w:p w:rsidR="00CF3C27" w:rsidRPr="007D6149" w:rsidRDefault="00CF3C27" w:rsidP="00CF3C27">
            <w:pPr>
              <w:jc w:val="center"/>
            </w:pPr>
            <w:r w:rsidRPr="007D6149">
              <w:t>263.20</w:t>
            </w:r>
          </w:p>
        </w:tc>
        <w:tc>
          <w:tcPr>
            <w:tcW w:w="1565" w:type="dxa"/>
          </w:tcPr>
          <w:p w:rsidR="00CF3C27" w:rsidRPr="007D6149" w:rsidRDefault="00CF3C27" w:rsidP="00CF3C27">
            <w:pPr>
              <w:jc w:val="center"/>
            </w:pPr>
            <w:r w:rsidRPr="007D6149">
              <w:t>23.20</w:t>
            </w:r>
          </w:p>
        </w:tc>
        <w:tc>
          <w:tcPr>
            <w:tcW w:w="1565" w:type="dxa"/>
          </w:tcPr>
          <w:p w:rsidR="00CF3C27" w:rsidRPr="007D6149" w:rsidRDefault="00CF3C27" w:rsidP="00CF3C27">
            <w:pPr>
              <w:jc w:val="center"/>
            </w:pPr>
            <w:r w:rsidRPr="007D6149">
              <w:t>538.17</w:t>
            </w:r>
          </w:p>
        </w:tc>
      </w:tr>
      <w:tr w:rsidR="00CF3C27" w:rsidTr="00CF3C27">
        <w:tc>
          <w:tcPr>
            <w:tcW w:w="567" w:type="dxa"/>
            <w:vAlign w:val="bottom"/>
          </w:tcPr>
          <w:p w:rsidR="00CF3C27" w:rsidRDefault="00CF3C27" w:rsidP="00CF3C27">
            <w:pPr>
              <w:jc w:val="center"/>
              <w:rPr>
                <w:rFonts w:ascii="Calibri" w:hAnsi="Calibri"/>
                <w:color w:val="000000"/>
              </w:rPr>
            </w:pPr>
            <w:r>
              <w:rPr>
                <w:rFonts w:ascii="Calibri" w:hAnsi="Calibri"/>
                <w:color w:val="000000"/>
              </w:rPr>
              <w:t>Q4</w:t>
            </w:r>
          </w:p>
        </w:tc>
        <w:tc>
          <w:tcPr>
            <w:tcW w:w="1565" w:type="dxa"/>
            <w:vAlign w:val="bottom"/>
          </w:tcPr>
          <w:p w:rsidR="00CF3C27" w:rsidRDefault="00CF3C27" w:rsidP="00CF3C27">
            <w:pPr>
              <w:jc w:val="center"/>
              <w:rPr>
                <w:rFonts w:ascii="Calibri" w:hAnsi="Calibri"/>
                <w:color w:val="000000"/>
              </w:rPr>
            </w:pPr>
            <w:r>
              <w:rPr>
                <w:rFonts w:ascii="Calibri" w:hAnsi="Calibri"/>
                <w:color w:val="000000"/>
              </w:rPr>
              <w:t>231</w:t>
            </w:r>
          </w:p>
        </w:tc>
        <w:tc>
          <w:tcPr>
            <w:tcW w:w="2829" w:type="dxa"/>
          </w:tcPr>
          <w:p w:rsidR="00CF3C27" w:rsidRPr="007D6149" w:rsidRDefault="00CF3C27" w:rsidP="00CF3C27">
            <w:pPr>
              <w:jc w:val="center"/>
            </w:pPr>
            <w:r w:rsidRPr="007D6149">
              <w:t>251.16</w:t>
            </w:r>
          </w:p>
        </w:tc>
        <w:tc>
          <w:tcPr>
            <w:tcW w:w="1565" w:type="dxa"/>
          </w:tcPr>
          <w:p w:rsidR="00CF3C27" w:rsidRPr="007D6149" w:rsidRDefault="00CF3C27" w:rsidP="00CF3C27">
            <w:pPr>
              <w:jc w:val="center"/>
            </w:pPr>
            <w:r w:rsidRPr="007D6149">
              <w:t>20.16</w:t>
            </w:r>
          </w:p>
        </w:tc>
        <w:tc>
          <w:tcPr>
            <w:tcW w:w="1565" w:type="dxa"/>
          </w:tcPr>
          <w:p w:rsidR="00CF3C27" w:rsidRDefault="00CF3C27" w:rsidP="00CF3C27">
            <w:pPr>
              <w:jc w:val="center"/>
            </w:pPr>
            <w:r w:rsidRPr="007D6149">
              <w:t>406.47</w:t>
            </w:r>
          </w:p>
        </w:tc>
      </w:tr>
    </w:tbl>
    <w:p w:rsidR="00CF3C27" w:rsidRDefault="00CF3C27" w:rsidP="00CF3C27">
      <w:pPr>
        <w:ind w:left="1418" w:hanging="567"/>
        <w:jc w:val="both"/>
        <w:rPr>
          <w:rFonts w:eastAsiaTheme="minorEastAsia"/>
        </w:rPr>
      </w:pPr>
    </w:p>
    <w:p w:rsidR="00CF3C27" w:rsidRDefault="00CF3C27" w:rsidP="00CF3C27">
      <w:pPr>
        <w:ind w:left="1418" w:hanging="567"/>
        <w:jc w:val="both"/>
        <w:rPr>
          <w:rFonts w:eastAsiaTheme="minorEastAsia"/>
        </w:rPr>
      </w:pPr>
      <w:r>
        <w:rPr>
          <w:rFonts w:eastAsiaTheme="minorEastAsia"/>
        </w:rPr>
        <w:tab/>
        <w:t>It follows that the MAD is 18.65 and the MSE is 347.86.</w:t>
      </w:r>
    </w:p>
    <w:p w:rsidR="0072304F" w:rsidRDefault="0072304F" w:rsidP="00CF3C27">
      <w:pPr>
        <w:ind w:left="1418" w:hanging="567"/>
        <w:jc w:val="both"/>
        <w:rPr>
          <w:rFonts w:eastAsiaTheme="minorEastAsia"/>
        </w:rPr>
      </w:pPr>
      <w:r>
        <w:rPr>
          <w:rFonts w:eastAsiaTheme="minorEastAsia"/>
        </w:rPr>
        <w:t>(f)</w:t>
      </w:r>
      <w:r>
        <w:rPr>
          <w:rFonts w:eastAsiaTheme="minorEastAsia"/>
        </w:rPr>
        <w:tab/>
        <w:t>The forecasting technique used in part (e) leads to smaller MAD and MSE. This technique deserves to be recommended.</w:t>
      </w:r>
    </w:p>
    <w:p w:rsidR="008F5F09" w:rsidRDefault="008F5F09">
      <w:pPr>
        <w:rPr>
          <w:rFonts w:eastAsiaTheme="minorEastAsia"/>
        </w:rPr>
      </w:pPr>
      <w:r>
        <w:rPr>
          <w:rFonts w:eastAsiaTheme="minorEastAsia"/>
        </w:rPr>
        <w:br w:type="page"/>
      </w:r>
    </w:p>
    <w:p w:rsidR="00AA080C" w:rsidRDefault="008F5F09" w:rsidP="00AA080C">
      <w:pPr>
        <w:spacing w:before="240"/>
        <w:ind w:left="1418" w:hanging="567"/>
        <w:jc w:val="both"/>
        <w:rPr>
          <w:rFonts w:eastAsiaTheme="minorEastAsia"/>
        </w:rPr>
      </w:pPr>
      <w:r>
        <w:rPr>
          <w:rFonts w:eastAsiaTheme="minorEastAsia"/>
        </w:rPr>
        <w:lastRenderedPageBreak/>
        <w:t>7.</w:t>
      </w:r>
      <w:r>
        <w:rPr>
          <w:rFonts w:eastAsiaTheme="minorEastAsia"/>
        </w:rPr>
        <w:tab/>
      </w:r>
      <w:r w:rsidR="000727FC">
        <w:rPr>
          <w:rFonts w:eastAsiaTheme="minorEastAsia"/>
        </w:rPr>
        <w:t>(</w:t>
      </w:r>
      <w:proofErr w:type="gramStart"/>
      <w:r w:rsidR="000727FC">
        <w:rPr>
          <w:rFonts w:eastAsiaTheme="minorEastAsia"/>
        </w:rPr>
        <w:t>a</w:t>
      </w:r>
      <w:proofErr w:type="gramEnd"/>
      <w:r w:rsidR="000727FC">
        <w:rPr>
          <w:rFonts w:eastAsiaTheme="minorEastAsia"/>
        </w:rPr>
        <w:t>)</w:t>
      </w:r>
      <w:r w:rsidR="000727FC">
        <w:rPr>
          <w:rFonts w:eastAsiaTheme="minorEastAsia"/>
        </w:rPr>
        <w:tab/>
      </w:r>
      <m:oMath>
        <m:r>
          <w:rPr>
            <w:rFonts w:ascii="Cambria Math" w:eastAsiaTheme="minorEastAsia" w:hAnsi="Cambria Math"/>
          </w:rPr>
          <m:t>P</m:t>
        </m:r>
        <m:d>
          <m:dPr>
            <m:ctrlPr>
              <w:rPr>
                <w:rFonts w:ascii="Cambria Math" w:eastAsiaTheme="minorEastAsia" w:hAnsi="Cambria Math"/>
                <w:i/>
              </w:rPr>
            </m:ctrlPr>
          </m:dPr>
          <m:e>
            <m:r>
              <m:rPr>
                <m:nor/>
              </m:rPr>
              <w:rPr>
                <w:rFonts w:ascii="Cambria Math" w:eastAsiaTheme="minorEastAsia" w:hAnsi="Cambria Math"/>
              </w:rPr>
              <m:t>Fund is winner in period 2</m:t>
            </m:r>
          </m:e>
          <m:e>
            <m:r>
              <m:rPr>
                <m:nor/>
              </m:rPr>
              <w:rPr>
                <w:rFonts w:ascii="Cambria Math" w:eastAsiaTheme="minorEastAsia" w:hAnsi="Cambria Math"/>
              </w:rPr>
              <m:t>fund was winner in period 1</m:t>
            </m:r>
          </m:e>
        </m:d>
        <m:r>
          <w:rPr>
            <w:rFonts w:ascii="Cambria Math" w:eastAsiaTheme="minorEastAsia" w:hAnsi="Cambria Math"/>
          </w:rPr>
          <m:t>=0.527</m:t>
        </m:r>
      </m:oMath>
      <w:r w:rsidR="00A43075">
        <w:rPr>
          <w:rFonts w:eastAsiaTheme="minorEastAsia"/>
        </w:rPr>
        <w:t>.</w:t>
      </w:r>
    </w:p>
    <w:p w:rsidR="00A43075" w:rsidRDefault="00A43075" w:rsidP="00AA080C">
      <w:pPr>
        <w:spacing w:before="240"/>
        <w:ind w:left="1418" w:hanging="567"/>
        <w:jc w:val="both"/>
        <w:rPr>
          <w:rFonts w:eastAsiaTheme="minorEastAsia"/>
        </w:rPr>
      </w:pPr>
      <w:r>
        <w:rPr>
          <w:rFonts w:eastAsiaTheme="minorEastAsia"/>
        </w:rPr>
        <w:tab/>
      </w:r>
      <w:r>
        <w:rPr>
          <w:rFonts w:eastAsiaTheme="minorEastAsia"/>
        </w:rPr>
        <w:tab/>
      </w:r>
      <w:r>
        <w:rPr>
          <w:rFonts w:eastAsiaTheme="minorEastAsia"/>
        </w:rPr>
        <w:tab/>
      </w:r>
      <m:oMath>
        <m:r>
          <w:rPr>
            <w:rFonts w:ascii="Cambria Math" w:eastAsiaTheme="minorEastAsia" w:hAnsi="Cambria Math"/>
          </w:rPr>
          <m:t>P</m:t>
        </m:r>
        <m:d>
          <m:dPr>
            <m:ctrlPr>
              <w:rPr>
                <w:rFonts w:ascii="Cambria Math" w:eastAsiaTheme="minorEastAsia" w:hAnsi="Cambria Math"/>
                <w:i/>
              </w:rPr>
            </m:ctrlPr>
          </m:dPr>
          <m:e>
            <m:r>
              <m:rPr>
                <m:nor/>
              </m:rPr>
              <w:rPr>
                <w:rFonts w:ascii="Cambria Math" w:eastAsiaTheme="minorEastAsia" w:hAnsi="Cambria Math"/>
              </w:rPr>
              <m:t>Fund is winner in period 2</m:t>
            </m:r>
          </m:e>
          <m:e>
            <m:r>
              <m:rPr>
                <m:nor/>
              </m:rPr>
              <w:rPr>
                <w:rFonts w:ascii="Cambria Math" w:eastAsiaTheme="minorEastAsia" w:hAnsi="Cambria Math"/>
              </w:rPr>
              <m:t>fund was loser in period 1</m:t>
            </m:r>
          </m:e>
        </m:d>
        <m:r>
          <w:rPr>
            <w:rFonts w:ascii="Cambria Math" w:eastAsiaTheme="minorEastAsia" w:hAnsi="Cambria Math"/>
          </w:rPr>
          <m:t>=0.473</m:t>
        </m:r>
      </m:oMath>
      <w:r>
        <w:rPr>
          <w:rFonts w:eastAsiaTheme="minorEastAsia"/>
        </w:rPr>
        <w:t>.</w:t>
      </w:r>
    </w:p>
    <w:p w:rsidR="00A43075" w:rsidRDefault="00A43075" w:rsidP="00AA080C">
      <w:pPr>
        <w:spacing w:before="240"/>
        <w:ind w:left="1418" w:hanging="567"/>
        <w:jc w:val="both"/>
        <w:rPr>
          <w:rFonts w:eastAsiaTheme="minorEastAsia"/>
        </w:rPr>
      </w:pPr>
      <w:r>
        <w:rPr>
          <w:rFonts w:eastAsiaTheme="minorEastAsia"/>
        </w:rPr>
        <w:tab/>
      </w:r>
      <w:r>
        <w:rPr>
          <w:rFonts w:eastAsiaTheme="minorEastAsia"/>
        </w:rPr>
        <w:tab/>
      </w:r>
      <w:r>
        <w:rPr>
          <w:rFonts w:eastAsiaTheme="minorEastAsia"/>
        </w:rPr>
        <w:tab/>
      </w:r>
      <m:oMath>
        <m:r>
          <w:rPr>
            <w:rFonts w:ascii="Cambria Math" w:eastAsiaTheme="minorEastAsia" w:hAnsi="Cambria Math"/>
          </w:rPr>
          <m:t>P</m:t>
        </m:r>
        <m:d>
          <m:dPr>
            <m:ctrlPr>
              <w:rPr>
                <w:rFonts w:ascii="Cambria Math" w:eastAsiaTheme="minorEastAsia" w:hAnsi="Cambria Math"/>
                <w:i/>
              </w:rPr>
            </m:ctrlPr>
          </m:dPr>
          <m:e>
            <m:r>
              <m:rPr>
                <m:nor/>
              </m:rPr>
              <w:rPr>
                <w:rFonts w:ascii="Cambria Math" w:eastAsiaTheme="minorEastAsia" w:hAnsi="Cambria Math"/>
              </w:rPr>
              <m:t>Fund is loser in period 2</m:t>
            </m:r>
          </m:e>
          <m:e>
            <m:r>
              <m:rPr>
                <m:nor/>
              </m:rPr>
              <w:rPr>
                <w:rFonts w:ascii="Cambria Math" w:eastAsiaTheme="minorEastAsia" w:hAnsi="Cambria Math"/>
              </w:rPr>
              <m:t>fund was winner in period 1</m:t>
            </m:r>
          </m:e>
        </m:d>
        <m:r>
          <w:rPr>
            <w:rFonts w:ascii="Cambria Math" w:eastAsiaTheme="minorEastAsia" w:hAnsi="Cambria Math"/>
          </w:rPr>
          <m:t>=0.472</m:t>
        </m:r>
      </m:oMath>
      <w:r>
        <w:rPr>
          <w:rFonts w:eastAsiaTheme="minorEastAsia"/>
        </w:rPr>
        <w:t>.</w:t>
      </w:r>
    </w:p>
    <w:p w:rsidR="00A43075" w:rsidRDefault="00A43075" w:rsidP="00AA080C">
      <w:pPr>
        <w:spacing w:before="240"/>
        <w:ind w:left="1418" w:hanging="567"/>
        <w:jc w:val="both"/>
        <w:rPr>
          <w:rFonts w:eastAsiaTheme="minorEastAsia"/>
        </w:rPr>
      </w:pPr>
      <w:r>
        <w:rPr>
          <w:rFonts w:eastAsiaTheme="minorEastAsia"/>
        </w:rPr>
        <w:tab/>
      </w:r>
      <w:r>
        <w:rPr>
          <w:rFonts w:eastAsiaTheme="minorEastAsia"/>
        </w:rPr>
        <w:tab/>
      </w:r>
      <w:r>
        <w:rPr>
          <w:rFonts w:eastAsiaTheme="minorEastAsia"/>
        </w:rPr>
        <w:tab/>
      </w:r>
      <m:oMath>
        <m:r>
          <w:rPr>
            <w:rFonts w:ascii="Cambria Math" w:eastAsiaTheme="minorEastAsia" w:hAnsi="Cambria Math"/>
          </w:rPr>
          <m:t>P</m:t>
        </m:r>
        <m:d>
          <m:dPr>
            <m:ctrlPr>
              <w:rPr>
                <w:rFonts w:ascii="Cambria Math" w:eastAsiaTheme="minorEastAsia" w:hAnsi="Cambria Math"/>
                <w:i/>
              </w:rPr>
            </m:ctrlPr>
          </m:dPr>
          <m:e>
            <m:r>
              <m:rPr>
                <m:nor/>
              </m:rPr>
              <w:rPr>
                <w:rFonts w:ascii="Cambria Math" w:eastAsiaTheme="minorEastAsia" w:hAnsi="Cambria Math"/>
              </w:rPr>
              <m:t>Fund is loser in period 2</m:t>
            </m:r>
          </m:e>
          <m:e>
            <m:r>
              <m:rPr>
                <m:nor/>
              </m:rPr>
              <w:rPr>
                <w:rFonts w:ascii="Cambria Math" w:eastAsiaTheme="minorEastAsia" w:hAnsi="Cambria Math"/>
              </w:rPr>
              <m:t>fund was loser in period 1</m:t>
            </m:r>
          </m:e>
        </m:d>
        <m:r>
          <w:rPr>
            <w:rFonts w:ascii="Cambria Math" w:eastAsiaTheme="minorEastAsia" w:hAnsi="Cambria Math"/>
          </w:rPr>
          <m:t>=0.527</m:t>
        </m:r>
      </m:oMath>
      <w:r>
        <w:rPr>
          <w:rFonts w:eastAsiaTheme="minorEastAsia"/>
        </w:rPr>
        <w:t>.</w:t>
      </w:r>
    </w:p>
    <w:p w:rsidR="00A43075" w:rsidRDefault="00A43075" w:rsidP="00AA080C">
      <w:pPr>
        <w:spacing w:before="240"/>
        <w:ind w:left="1418" w:hanging="567"/>
        <w:jc w:val="both"/>
        <w:rPr>
          <w:rFonts w:eastAsiaTheme="minorEastAsia"/>
        </w:rPr>
      </w:pPr>
      <w:r>
        <w:rPr>
          <w:rFonts w:eastAsiaTheme="minorEastAsia"/>
        </w:rPr>
        <w:tab/>
      </w:r>
      <w:r>
        <w:rPr>
          <w:rFonts w:eastAsiaTheme="minorEastAsia"/>
        </w:rPr>
        <w:tab/>
      </w:r>
      <w:r>
        <w:rPr>
          <w:rFonts w:eastAsiaTheme="minorEastAsia"/>
        </w:rPr>
        <w:tab/>
        <w:t>All these conditional probabilities are empirical.</w:t>
      </w:r>
    </w:p>
    <w:p w:rsidR="00E352BB" w:rsidRPr="00E352BB" w:rsidRDefault="00E352BB" w:rsidP="00AA080C">
      <w:pPr>
        <w:spacing w:before="240"/>
        <w:ind w:left="1418" w:hanging="567"/>
        <w:jc w:val="both"/>
        <w:rPr>
          <w:rFonts w:eastAsiaTheme="minorEastAsia"/>
        </w:rPr>
      </w:pPr>
      <w:r>
        <w:rPr>
          <w:rFonts w:eastAsiaTheme="minorEastAsia"/>
        </w:rPr>
        <w:tab/>
      </w:r>
      <w:r>
        <w:rPr>
          <w:rFonts w:eastAsiaTheme="minorEastAsia"/>
        </w:rPr>
        <w:tab/>
      </w:r>
      <w:r>
        <w:rPr>
          <w:rFonts w:eastAsiaTheme="minorEastAsia"/>
        </w:rPr>
        <w:tab/>
      </w:r>
      <m:oMath>
        <m:r>
          <w:rPr>
            <w:rFonts w:ascii="Cambria Math" w:eastAsiaTheme="minorEastAsia" w:hAnsi="Cambria Math"/>
          </w:rPr>
          <m:t>P</m:t>
        </m:r>
        <m:d>
          <m:dPr>
            <m:ctrlPr>
              <w:rPr>
                <w:rFonts w:ascii="Cambria Math" w:eastAsiaTheme="minorEastAsia" w:hAnsi="Cambria Math"/>
                <w:i/>
              </w:rPr>
            </m:ctrlPr>
          </m:dPr>
          <m:e>
            <m:r>
              <m:rPr>
                <m:nor/>
              </m:rPr>
              <w:rPr>
                <w:rFonts w:ascii="Cambria Math" w:eastAsiaTheme="minorEastAsia" w:hAnsi="Cambria Math"/>
              </w:rPr>
              <m:t>Fund is loser in period 1 and period 2</m:t>
            </m:r>
          </m:e>
        </m:d>
      </m:oMath>
    </w:p>
    <w:p w:rsidR="00E352BB" w:rsidRDefault="00E352BB" w:rsidP="00AA080C">
      <w:pPr>
        <w:spacing w:before="240"/>
        <w:ind w:left="1418" w:hanging="567"/>
        <w:jc w:val="both"/>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m:rPr>
                  <m:nor/>
                </m:rPr>
                <w:rPr>
                  <w:rFonts w:ascii="Cambria Math" w:eastAsiaTheme="minorEastAsia" w:hAnsi="Cambria Math"/>
                </w:rPr>
                <m:t>Fund is loser in period 2</m:t>
              </m:r>
            </m:e>
            <m:e>
              <m:r>
                <m:rPr>
                  <m:nor/>
                </m:rPr>
                <w:rPr>
                  <w:rFonts w:ascii="Cambria Math" w:eastAsiaTheme="minorEastAsia" w:hAnsi="Cambria Math"/>
                </w:rPr>
                <m:t>fund was loser in period 1</m:t>
              </m:r>
            </m:e>
          </m:d>
          <m:r>
            <w:rPr>
              <w:rFonts w:ascii="Cambria Math" w:eastAsiaTheme="minorEastAsia" w:hAnsi="Cambria Math"/>
            </w:rPr>
            <m:t>×P</m:t>
          </m:r>
          <m:d>
            <m:dPr>
              <m:ctrlPr>
                <w:rPr>
                  <w:rFonts w:ascii="Cambria Math" w:eastAsiaTheme="minorEastAsia" w:hAnsi="Cambria Math"/>
                  <w:i/>
                </w:rPr>
              </m:ctrlPr>
            </m:dPr>
            <m:e>
              <m:r>
                <m:rPr>
                  <m:nor/>
                </m:rPr>
                <w:rPr>
                  <w:rFonts w:ascii="Cambria Math" w:eastAsiaTheme="minorEastAsia" w:hAnsi="Cambria Math"/>
                </w:rPr>
                <m:t>Fund is loser in period 1</m:t>
              </m:r>
            </m:e>
          </m:d>
          <m:r>
            <w:rPr>
              <w:rFonts w:ascii="Cambria Math" w:eastAsiaTheme="minorEastAsia" w:hAnsi="Cambria Math"/>
            </w:rPr>
            <m:t>=0.473×0.5=0.237.</m:t>
          </m:r>
        </m:oMath>
      </m:oMathPara>
    </w:p>
    <w:p w:rsidR="00E352BB" w:rsidRDefault="00E352BB" w:rsidP="00AA080C">
      <w:pPr>
        <w:spacing w:before="240"/>
        <w:ind w:left="1418" w:hanging="567"/>
        <w:jc w:val="both"/>
        <w:rPr>
          <w:rFonts w:eastAsiaTheme="minorEastAsia"/>
        </w:rPr>
      </w:pPr>
      <w:r>
        <w:rPr>
          <w:rFonts w:eastAsiaTheme="minorEastAsia"/>
        </w:rPr>
        <w:tab/>
        <w:t>(b)</w:t>
      </w:r>
      <w:r w:rsidR="00C94DCC">
        <w:rPr>
          <w:rFonts w:eastAsiaTheme="minorEastAsia"/>
        </w:rPr>
        <w:tab/>
        <w:t>Return from portfolio</w:t>
      </w:r>
      <w:proofErr w:type="gramStart"/>
      <w:r w:rsidR="00C94DCC">
        <w:rPr>
          <w:rFonts w:eastAsiaTheme="minorEastAsia"/>
        </w:rPr>
        <w:t xml:space="preserve">, </w:t>
      </w:r>
      <m:oMath>
        <w:proofErr w:type="gramEnd"/>
        <m:r>
          <w:rPr>
            <w:rFonts w:ascii="Cambria Math" w:eastAsiaTheme="minorEastAsia" w:hAnsi="Cambria Math"/>
          </w:rPr>
          <m:t>R=0.75RA+0.25RB</m:t>
        </m:r>
      </m:oMath>
      <w:r w:rsidR="00C94DCC">
        <w:rPr>
          <w:rFonts w:eastAsiaTheme="minorEastAsia"/>
        </w:rPr>
        <w:t>, where</w:t>
      </w:r>
    </w:p>
    <w:p w:rsidR="00F272F6" w:rsidRDefault="00F272F6" w:rsidP="00AA080C">
      <w:pPr>
        <w:spacing w:before="240"/>
        <w:ind w:left="1418" w:hanging="567"/>
        <w:jc w:val="both"/>
        <w:rPr>
          <w:rFonts w:eastAsiaTheme="minorEastAsia"/>
        </w:rPr>
      </w:pPr>
      <w:r>
        <w:rPr>
          <w:rFonts w:eastAsiaTheme="minorEastAsia"/>
        </w:rPr>
        <w:tab/>
      </w:r>
      <w:r>
        <w:rPr>
          <w:rFonts w:eastAsiaTheme="minorEastAsia"/>
        </w:rPr>
        <w:tab/>
      </w:r>
      <w:r>
        <w:rPr>
          <w:rFonts w:eastAsiaTheme="minorEastAsia"/>
        </w:rPr>
        <w:tab/>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RA</m:t>
            </m:r>
          </m:sub>
        </m:sSub>
        <m:r>
          <w:rPr>
            <w:rFonts w:ascii="Cambria Math" w:eastAsiaTheme="minorEastAsia" w:hAnsi="Cambria Math"/>
          </w:rPr>
          <m:t>=20%</m:t>
        </m:r>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RB</m:t>
            </m:r>
          </m:sub>
        </m:sSub>
        <m:r>
          <w:rPr>
            <w:rFonts w:ascii="Cambria Math" w:eastAsiaTheme="minorEastAsia" w:hAnsi="Cambria Math"/>
          </w:rPr>
          <m:t>=12%</m:t>
        </m:r>
      </m:oMath>
      <w:r>
        <w:rPr>
          <w:rFonts w:eastAsiaTheme="minorEastAsia"/>
        </w:rPr>
        <w:t xml:space="preserve">,  </w:t>
      </w:r>
      <m:oMath>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RA</m:t>
            </m:r>
          </m:sub>
          <m:sup>
            <m:r>
              <w:rPr>
                <w:rFonts w:ascii="Cambria Math" w:eastAsiaTheme="minorEastAsia" w:hAnsi="Cambria Math"/>
              </w:rPr>
              <m:t>2</m:t>
            </m:r>
          </m:sup>
        </m:sSubSup>
        <m:r>
          <w:rPr>
            <w:rFonts w:ascii="Cambria Math" w:eastAsiaTheme="minorEastAsia" w:hAnsi="Cambria Math"/>
          </w:rPr>
          <m:t>=625</m:t>
        </m:r>
      </m:oMath>
      <w:r>
        <w:rPr>
          <w:rFonts w:eastAsiaTheme="minorEastAsia"/>
        </w:rPr>
        <w:t xml:space="preserve">,  </w:t>
      </w:r>
      <m:oMath>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RB</m:t>
            </m:r>
          </m:sub>
          <m:sup>
            <m:r>
              <w:rPr>
                <w:rFonts w:ascii="Cambria Math" w:eastAsiaTheme="minorEastAsia" w:hAnsi="Cambria Math"/>
              </w:rPr>
              <m:t>2</m:t>
            </m:r>
          </m:sup>
        </m:sSubSup>
        <m:r>
          <w:rPr>
            <w:rFonts w:ascii="Cambria Math" w:eastAsiaTheme="minorEastAsia" w:hAnsi="Cambria Math"/>
          </w:rPr>
          <m:t>=196</m:t>
        </m:r>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RA,RB</m:t>
            </m:r>
          </m:sub>
        </m:sSub>
        <m:r>
          <w:rPr>
            <w:rFonts w:ascii="Cambria Math" w:eastAsiaTheme="minorEastAsia" w:hAnsi="Cambria Math"/>
          </w:rPr>
          <m:t>=120</m:t>
        </m:r>
      </m:oMath>
      <w:r>
        <w:rPr>
          <w:rFonts w:eastAsiaTheme="minorEastAsia"/>
        </w:rPr>
        <w:t>.</w:t>
      </w:r>
    </w:p>
    <w:p w:rsidR="00F272F6" w:rsidRDefault="00F272F6" w:rsidP="00F272F6">
      <w:pPr>
        <w:spacing w:before="240"/>
        <w:ind w:left="1418" w:hanging="567"/>
        <w:jc w:val="both"/>
        <w:rPr>
          <w:rFonts w:eastAsiaTheme="minorEastAsia"/>
        </w:rPr>
      </w:pPr>
      <w:r>
        <w:rPr>
          <w:rFonts w:eastAsiaTheme="minorEastAsia"/>
        </w:rPr>
        <w:tab/>
      </w:r>
      <w:r>
        <w:rPr>
          <w:rFonts w:eastAsiaTheme="minorEastAsia"/>
        </w:rPr>
        <w:tab/>
      </w:r>
      <w:r>
        <w:rPr>
          <w:rFonts w:eastAsiaTheme="minorEastAsia"/>
        </w:rPr>
        <w:tab/>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R</m:t>
            </m:r>
          </m:sub>
        </m:sSub>
        <m:r>
          <w:rPr>
            <w:rFonts w:ascii="Cambria Math" w:eastAsiaTheme="minorEastAsia" w:hAnsi="Cambria Math"/>
          </w:rPr>
          <m:t>=0.75×20%+0.25×12%=18%</m:t>
        </m:r>
      </m:oMath>
      <w:r>
        <w:rPr>
          <w:rFonts w:eastAsiaTheme="minorEastAsia"/>
        </w:rPr>
        <w:t>.</w:t>
      </w:r>
    </w:p>
    <w:p w:rsidR="00C11415" w:rsidRDefault="00C11415" w:rsidP="00C11415">
      <w:pPr>
        <w:spacing w:before="240"/>
        <w:ind w:left="2127" w:hanging="567"/>
        <w:jc w:val="both"/>
        <w:rPr>
          <w:rFonts w:eastAsiaTheme="minorEastAsia"/>
        </w:rPr>
      </w:pPr>
      <w:r>
        <w:rPr>
          <w:rFonts w:eastAsiaTheme="minorEastAsia"/>
        </w:rPr>
        <w:tab/>
      </w:r>
      <w:r>
        <w:rPr>
          <w:rFonts w:eastAsiaTheme="minorEastAsia"/>
        </w:rPr>
        <w:tab/>
      </w:r>
      <m:oMath>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RA,RB</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RA,RB</m:t>
                </m:r>
              </m:sub>
            </m:sSub>
          </m:num>
          <m:den>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RA</m:t>
                </m:r>
              </m:sub>
            </m:sSub>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RB</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120</m:t>
            </m:r>
          </m:num>
          <m:den>
            <m:r>
              <w:rPr>
                <w:rFonts w:ascii="Cambria Math" w:eastAsiaTheme="minorEastAsia" w:hAnsi="Cambria Math"/>
              </w:rPr>
              <m:t>25×14</m:t>
            </m:r>
          </m:den>
        </m:f>
        <m:r>
          <w:rPr>
            <w:rFonts w:ascii="Cambria Math" w:eastAsiaTheme="minorEastAsia" w:hAnsi="Cambria Math"/>
          </w:rPr>
          <m:t>=0.3429</m:t>
        </m:r>
      </m:oMath>
      <w:r w:rsidR="00F272F6">
        <w:rPr>
          <w:rFonts w:eastAsiaTheme="minorEastAsia"/>
        </w:rPr>
        <w:t xml:space="preserve">. </w:t>
      </w:r>
    </w:p>
    <w:p w:rsidR="00F272F6" w:rsidRDefault="00C11415" w:rsidP="00C11415">
      <w:pPr>
        <w:spacing w:before="240"/>
        <w:ind w:left="2127" w:hanging="567"/>
        <w:jc w:val="both"/>
        <w:rPr>
          <w:rFonts w:eastAsiaTheme="minorEastAsia"/>
        </w:rPr>
      </w:pPr>
      <w:r>
        <w:rPr>
          <w:rFonts w:eastAsiaTheme="minorEastAsia"/>
        </w:rPr>
        <w:tab/>
      </w:r>
      <w:r w:rsidR="00F272F6">
        <w:rPr>
          <w:rFonts w:eastAsiaTheme="minorEastAsia"/>
        </w:rPr>
        <w:t xml:space="preserve">The correlation matrix </w:t>
      </w:r>
      <w:proofErr w:type="gramStart"/>
      <w:r w:rsidR="00F272F6">
        <w:rPr>
          <w:rFonts w:eastAsiaTheme="minorEastAsia"/>
        </w:rPr>
        <w:t xml:space="preserve">is </w:t>
      </w:r>
      <m:oMath>
        <w:proofErr w:type="gramEnd"/>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1</m:t>
                  </m:r>
                </m:e>
                <m:e>
                  <m:r>
                    <w:rPr>
                      <w:rFonts w:ascii="Cambria Math" w:eastAsiaTheme="minorEastAsia" w:hAnsi="Cambria Math"/>
                    </w:rPr>
                    <m:t>0.3429</m:t>
                  </m:r>
                </m:e>
              </m:mr>
              <m:mr>
                <m:e>
                  <m:r>
                    <w:rPr>
                      <w:rFonts w:ascii="Cambria Math" w:eastAsiaTheme="minorEastAsia" w:hAnsi="Cambria Math"/>
                    </w:rPr>
                    <m:t>0.3429</m:t>
                  </m:r>
                </m:e>
                <m:e>
                  <m:r>
                    <w:rPr>
                      <w:rFonts w:ascii="Cambria Math" w:eastAsiaTheme="minorEastAsia" w:hAnsi="Cambria Math"/>
                    </w:rPr>
                    <m:t>1</m:t>
                  </m:r>
                </m:e>
              </m:mr>
            </m:m>
          </m:e>
        </m:d>
      </m:oMath>
      <w:r>
        <w:rPr>
          <w:rFonts w:eastAsiaTheme="minorEastAsia"/>
        </w:rPr>
        <w:t>.</w:t>
      </w:r>
    </w:p>
    <w:p w:rsidR="00E84B93" w:rsidRDefault="00E84B93" w:rsidP="00E84B93">
      <w:pPr>
        <w:spacing w:before="240"/>
        <w:ind w:left="2127" w:hanging="567"/>
        <w:jc w:val="both"/>
        <w:rPr>
          <w:rFonts w:eastAsiaTheme="minorEastAsia"/>
        </w:rPr>
      </w:pPr>
      <w:r>
        <w:rPr>
          <w:rFonts w:eastAsiaTheme="minorEastAsia"/>
        </w:rPr>
        <w:tab/>
        <w:t>Portfolio variance</w:t>
      </w:r>
      <w:proofErr w:type="gramStart"/>
      <w:r>
        <w:rPr>
          <w:rFonts w:eastAsiaTheme="minorEastAsia"/>
        </w:rPr>
        <w:t xml:space="preserve">,  </w:t>
      </w:r>
      <m:oMath>
        <w:proofErr w:type="gramEnd"/>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R</m:t>
            </m:r>
          </m:sub>
          <m:sup>
            <m:r>
              <w:rPr>
                <w:rFonts w:ascii="Cambria Math" w:eastAsiaTheme="minorEastAsia" w:hAnsi="Cambria Math"/>
              </w:rPr>
              <m:t>2</m:t>
            </m:r>
          </m:sup>
        </m:sSub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0.75</m:t>
            </m:r>
          </m:e>
          <m:sup>
            <m:r>
              <w:rPr>
                <w:rFonts w:ascii="Cambria Math" w:eastAsiaTheme="minorEastAsia" w:hAnsi="Cambria Math"/>
              </w:rPr>
              <m:t>2</m:t>
            </m:r>
          </m:sup>
        </m:sSup>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RA</m:t>
            </m:r>
          </m:sub>
          <m:sup>
            <m:r>
              <w:rPr>
                <w:rFonts w:ascii="Cambria Math" w:eastAsiaTheme="minorEastAsia" w:hAnsi="Cambria Math"/>
              </w:rPr>
              <m:t>2</m:t>
            </m:r>
          </m:sup>
        </m:sSub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0.25</m:t>
            </m:r>
          </m:e>
          <m:sup>
            <m:r>
              <w:rPr>
                <w:rFonts w:ascii="Cambria Math" w:eastAsiaTheme="minorEastAsia" w:hAnsi="Cambria Math"/>
              </w:rPr>
              <m:t>2</m:t>
            </m:r>
          </m:sup>
        </m:sSup>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RB</m:t>
            </m:r>
          </m:sub>
          <m:sup>
            <m:r>
              <w:rPr>
                <w:rFonts w:ascii="Cambria Math" w:eastAsiaTheme="minorEastAsia" w:hAnsi="Cambria Math"/>
              </w:rPr>
              <m:t>2</m:t>
            </m:r>
          </m:sup>
        </m:sSubSup>
        <m:r>
          <w:rPr>
            <w:rFonts w:ascii="Cambria Math" w:eastAsiaTheme="minorEastAsia" w:hAnsi="Cambria Math"/>
          </w:rPr>
          <m:t>+2×0.75×0.25</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RA,RB</m:t>
            </m:r>
          </m:sub>
        </m:sSub>
      </m:oMath>
      <w:r>
        <w:rPr>
          <w:rFonts w:eastAsiaTheme="minorEastAsia"/>
        </w:rPr>
        <w:t>,</w:t>
      </w:r>
    </w:p>
    <w:p w:rsidR="00E84B93" w:rsidRDefault="00E84B93" w:rsidP="00E84B93">
      <w:pPr>
        <w:spacing w:before="240"/>
        <w:ind w:left="2127" w:hanging="567"/>
        <w:jc w:val="both"/>
        <w:rPr>
          <w:rFonts w:eastAsiaTheme="minorEastAsia"/>
        </w:rPr>
      </w:pPr>
      <w:r>
        <w:rPr>
          <w:rFonts w:eastAsiaTheme="minorEastAsia"/>
        </w:rPr>
        <w:tab/>
        <w:t>i.e.</w:t>
      </w:r>
      <w:proofErr w:type="gramStart"/>
      <w:r>
        <w:rPr>
          <w:rFonts w:eastAsiaTheme="minorEastAsia"/>
        </w:rPr>
        <w:t xml:space="preserve">,  </w:t>
      </w:r>
      <m:oMath>
        <w:proofErr w:type="gramEnd"/>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R</m:t>
            </m:r>
          </m:sub>
          <m:sup>
            <m:r>
              <w:rPr>
                <w:rFonts w:ascii="Cambria Math" w:eastAsiaTheme="minorEastAsia" w:hAnsi="Cambria Math"/>
              </w:rPr>
              <m:t>2</m:t>
            </m:r>
          </m:sup>
        </m:sSub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0.75</m:t>
            </m:r>
          </m:e>
          <m:sup>
            <m:r>
              <w:rPr>
                <w:rFonts w:ascii="Cambria Math" w:eastAsiaTheme="minorEastAsia" w:hAnsi="Cambria Math"/>
              </w:rPr>
              <m:t>2</m:t>
            </m:r>
          </m:sup>
        </m:sSup>
        <m:r>
          <w:rPr>
            <w:rFonts w:ascii="Cambria Math" w:eastAsiaTheme="minorEastAsia" w:hAnsi="Cambria Math"/>
          </w:rPr>
          <m:t>×625+</m:t>
        </m:r>
        <m:sSup>
          <m:sSupPr>
            <m:ctrlPr>
              <w:rPr>
                <w:rFonts w:ascii="Cambria Math" w:eastAsiaTheme="minorEastAsia" w:hAnsi="Cambria Math"/>
                <w:i/>
              </w:rPr>
            </m:ctrlPr>
          </m:sSupPr>
          <m:e>
            <m:r>
              <w:rPr>
                <w:rFonts w:ascii="Cambria Math" w:eastAsiaTheme="minorEastAsia" w:hAnsi="Cambria Math"/>
              </w:rPr>
              <m:t>0.25</m:t>
            </m:r>
          </m:e>
          <m:sup>
            <m:r>
              <w:rPr>
                <w:rFonts w:ascii="Cambria Math" w:eastAsiaTheme="minorEastAsia" w:hAnsi="Cambria Math"/>
              </w:rPr>
              <m:t>2</m:t>
            </m:r>
          </m:sup>
        </m:sSup>
        <m:r>
          <w:rPr>
            <w:rFonts w:ascii="Cambria Math" w:eastAsiaTheme="minorEastAsia" w:hAnsi="Cambria Math"/>
          </w:rPr>
          <m:t>×196+2×0.75×0.25×120=408.81</m:t>
        </m:r>
      </m:oMath>
      <w:r>
        <w:rPr>
          <w:rFonts w:eastAsiaTheme="minorEastAsia"/>
        </w:rPr>
        <w:t>.</w:t>
      </w:r>
    </w:p>
    <w:p w:rsidR="00E84B93" w:rsidRDefault="00E84B93" w:rsidP="00E84B93">
      <w:pPr>
        <w:spacing w:before="240"/>
        <w:ind w:left="2127" w:hanging="567"/>
        <w:jc w:val="both"/>
        <w:rPr>
          <w:rFonts w:eastAsiaTheme="minorEastAsia"/>
        </w:rPr>
      </w:pPr>
      <w:r>
        <w:rPr>
          <w:rFonts w:eastAsiaTheme="minorEastAsia"/>
        </w:rPr>
        <w:tab/>
        <w:t>Portfolio standard deviation</w:t>
      </w:r>
      <w:proofErr w:type="gramStart"/>
      <w:r>
        <w:rPr>
          <w:rFonts w:eastAsiaTheme="minorEastAsia"/>
        </w:rPr>
        <w:t xml:space="preserve">,  </w:t>
      </w:r>
      <m:oMath>
        <w:proofErr w:type="gramEnd"/>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R</m:t>
            </m:r>
          </m:sub>
        </m:sSub>
        <m:r>
          <w:rPr>
            <w:rFonts w:ascii="Cambria Math" w:eastAsiaTheme="minorEastAsia" w:hAnsi="Cambria Math"/>
          </w:rPr>
          <m:t>=</m:t>
        </m:r>
        <m:rad>
          <m:radPr>
            <m:degHide m:val="on"/>
            <m:ctrlPr>
              <w:rPr>
                <w:rFonts w:ascii="Cambria Math" w:eastAsiaTheme="minorEastAsia" w:hAnsi="Cambria Math"/>
                <w:i/>
              </w:rPr>
            </m:ctrlPr>
          </m:radPr>
          <m:deg/>
          <m:e>
            <m:r>
              <w:rPr>
                <w:rFonts w:ascii="Cambria Math" w:eastAsiaTheme="minorEastAsia" w:hAnsi="Cambria Math"/>
              </w:rPr>
              <m:t>408.81</m:t>
            </m:r>
          </m:e>
        </m:rad>
        <m:r>
          <w:rPr>
            <w:rFonts w:ascii="Cambria Math" w:eastAsiaTheme="minorEastAsia" w:hAnsi="Cambria Math"/>
          </w:rPr>
          <m:t>=20.22%</m:t>
        </m:r>
      </m:oMath>
      <w:r>
        <w:rPr>
          <w:rFonts w:eastAsiaTheme="minorEastAsia"/>
        </w:rPr>
        <w:t>.</w:t>
      </w:r>
    </w:p>
    <w:p w:rsidR="00F272F6" w:rsidRPr="00E352BB" w:rsidRDefault="00F272F6" w:rsidP="00F272F6">
      <w:pPr>
        <w:tabs>
          <w:tab w:val="left" w:pos="2127"/>
        </w:tabs>
        <w:spacing w:before="240"/>
        <w:ind w:left="1418" w:hanging="567"/>
        <w:jc w:val="both"/>
        <w:rPr>
          <w:rFonts w:eastAsiaTheme="minorEastAsia"/>
        </w:rPr>
      </w:pPr>
    </w:p>
    <w:sectPr w:rsidR="00F272F6" w:rsidRPr="00E352BB" w:rsidSect="003F64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9081F"/>
    <w:multiLevelType w:val="hybridMultilevel"/>
    <w:tmpl w:val="80522858"/>
    <w:lvl w:ilvl="0" w:tplc="40090001">
      <w:start w:val="1"/>
      <w:numFmt w:val="bullet"/>
      <w:lvlText w:val=""/>
      <w:lvlJc w:val="left"/>
      <w:pPr>
        <w:ind w:left="2141" w:hanging="360"/>
      </w:pPr>
      <w:rPr>
        <w:rFonts w:ascii="Symbol" w:hAnsi="Symbol" w:hint="default"/>
      </w:rPr>
    </w:lvl>
    <w:lvl w:ilvl="1" w:tplc="40090003" w:tentative="1">
      <w:start w:val="1"/>
      <w:numFmt w:val="bullet"/>
      <w:lvlText w:val="o"/>
      <w:lvlJc w:val="left"/>
      <w:pPr>
        <w:ind w:left="2861" w:hanging="360"/>
      </w:pPr>
      <w:rPr>
        <w:rFonts w:ascii="Courier New" w:hAnsi="Courier New" w:cs="Courier New" w:hint="default"/>
      </w:rPr>
    </w:lvl>
    <w:lvl w:ilvl="2" w:tplc="40090005" w:tentative="1">
      <w:start w:val="1"/>
      <w:numFmt w:val="bullet"/>
      <w:lvlText w:val=""/>
      <w:lvlJc w:val="left"/>
      <w:pPr>
        <w:ind w:left="3581" w:hanging="360"/>
      </w:pPr>
      <w:rPr>
        <w:rFonts w:ascii="Wingdings" w:hAnsi="Wingdings" w:hint="default"/>
      </w:rPr>
    </w:lvl>
    <w:lvl w:ilvl="3" w:tplc="40090001" w:tentative="1">
      <w:start w:val="1"/>
      <w:numFmt w:val="bullet"/>
      <w:lvlText w:val=""/>
      <w:lvlJc w:val="left"/>
      <w:pPr>
        <w:ind w:left="4301" w:hanging="360"/>
      </w:pPr>
      <w:rPr>
        <w:rFonts w:ascii="Symbol" w:hAnsi="Symbol" w:hint="default"/>
      </w:rPr>
    </w:lvl>
    <w:lvl w:ilvl="4" w:tplc="40090003" w:tentative="1">
      <w:start w:val="1"/>
      <w:numFmt w:val="bullet"/>
      <w:lvlText w:val="o"/>
      <w:lvlJc w:val="left"/>
      <w:pPr>
        <w:ind w:left="5021" w:hanging="360"/>
      </w:pPr>
      <w:rPr>
        <w:rFonts w:ascii="Courier New" w:hAnsi="Courier New" w:cs="Courier New" w:hint="default"/>
      </w:rPr>
    </w:lvl>
    <w:lvl w:ilvl="5" w:tplc="40090005" w:tentative="1">
      <w:start w:val="1"/>
      <w:numFmt w:val="bullet"/>
      <w:lvlText w:val=""/>
      <w:lvlJc w:val="left"/>
      <w:pPr>
        <w:ind w:left="5741" w:hanging="360"/>
      </w:pPr>
      <w:rPr>
        <w:rFonts w:ascii="Wingdings" w:hAnsi="Wingdings" w:hint="default"/>
      </w:rPr>
    </w:lvl>
    <w:lvl w:ilvl="6" w:tplc="40090001" w:tentative="1">
      <w:start w:val="1"/>
      <w:numFmt w:val="bullet"/>
      <w:lvlText w:val=""/>
      <w:lvlJc w:val="left"/>
      <w:pPr>
        <w:ind w:left="6461" w:hanging="360"/>
      </w:pPr>
      <w:rPr>
        <w:rFonts w:ascii="Symbol" w:hAnsi="Symbol" w:hint="default"/>
      </w:rPr>
    </w:lvl>
    <w:lvl w:ilvl="7" w:tplc="40090003" w:tentative="1">
      <w:start w:val="1"/>
      <w:numFmt w:val="bullet"/>
      <w:lvlText w:val="o"/>
      <w:lvlJc w:val="left"/>
      <w:pPr>
        <w:ind w:left="7181" w:hanging="360"/>
      </w:pPr>
      <w:rPr>
        <w:rFonts w:ascii="Courier New" w:hAnsi="Courier New" w:cs="Courier New" w:hint="default"/>
      </w:rPr>
    </w:lvl>
    <w:lvl w:ilvl="8" w:tplc="40090005" w:tentative="1">
      <w:start w:val="1"/>
      <w:numFmt w:val="bullet"/>
      <w:lvlText w:val=""/>
      <w:lvlJc w:val="left"/>
      <w:pPr>
        <w:ind w:left="790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04730"/>
    <w:rsid w:val="00045649"/>
    <w:rsid w:val="000727FC"/>
    <w:rsid w:val="00104730"/>
    <w:rsid w:val="00134BE4"/>
    <w:rsid w:val="001C1538"/>
    <w:rsid w:val="002679CF"/>
    <w:rsid w:val="002B4347"/>
    <w:rsid w:val="003F6417"/>
    <w:rsid w:val="004040D6"/>
    <w:rsid w:val="00433967"/>
    <w:rsid w:val="00485DC4"/>
    <w:rsid w:val="004B511C"/>
    <w:rsid w:val="00514D53"/>
    <w:rsid w:val="00541876"/>
    <w:rsid w:val="005F3FD5"/>
    <w:rsid w:val="006460CD"/>
    <w:rsid w:val="0065092E"/>
    <w:rsid w:val="00660E52"/>
    <w:rsid w:val="006937AF"/>
    <w:rsid w:val="006F5546"/>
    <w:rsid w:val="0072304F"/>
    <w:rsid w:val="00763D0F"/>
    <w:rsid w:val="007D7902"/>
    <w:rsid w:val="008158E0"/>
    <w:rsid w:val="008526A4"/>
    <w:rsid w:val="008800FE"/>
    <w:rsid w:val="008E0650"/>
    <w:rsid w:val="008F5F09"/>
    <w:rsid w:val="00941854"/>
    <w:rsid w:val="00973B2F"/>
    <w:rsid w:val="00994219"/>
    <w:rsid w:val="009A081A"/>
    <w:rsid w:val="009A0D37"/>
    <w:rsid w:val="00A331E4"/>
    <w:rsid w:val="00A43075"/>
    <w:rsid w:val="00A66F82"/>
    <w:rsid w:val="00AA080C"/>
    <w:rsid w:val="00AA6710"/>
    <w:rsid w:val="00B47E22"/>
    <w:rsid w:val="00B51D94"/>
    <w:rsid w:val="00B8321C"/>
    <w:rsid w:val="00C11415"/>
    <w:rsid w:val="00C74561"/>
    <w:rsid w:val="00C864E4"/>
    <w:rsid w:val="00C94DCC"/>
    <w:rsid w:val="00CB23DB"/>
    <w:rsid w:val="00CF3C27"/>
    <w:rsid w:val="00E352BB"/>
    <w:rsid w:val="00E84B93"/>
    <w:rsid w:val="00E941C4"/>
    <w:rsid w:val="00EB12CE"/>
    <w:rsid w:val="00F272F6"/>
    <w:rsid w:val="00F34A9C"/>
    <w:rsid w:val="00F41E15"/>
    <w:rsid w:val="00F81278"/>
    <w:rsid w:val="00FC1CD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4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730"/>
    <w:pPr>
      <w:ind w:left="720"/>
      <w:contextualSpacing/>
    </w:pPr>
  </w:style>
  <w:style w:type="table" w:styleId="TableGrid">
    <w:name w:val="Table Grid"/>
    <w:basedOn w:val="TableNormal"/>
    <w:uiPriority w:val="59"/>
    <w:rsid w:val="00EB12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47E22"/>
    <w:rPr>
      <w:color w:val="808080"/>
    </w:rPr>
  </w:style>
  <w:style w:type="paragraph" w:styleId="BalloonText">
    <w:name w:val="Balloon Text"/>
    <w:basedOn w:val="Normal"/>
    <w:link w:val="BalloonTextChar"/>
    <w:uiPriority w:val="99"/>
    <w:semiHidden/>
    <w:unhideWhenUsed/>
    <w:rsid w:val="00B47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E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5899788">
      <w:bodyDiv w:val="1"/>
      <w:marLeft w:val="0"/>
      <w:marRight w:val="0"/>
      <w:marTop w:val="0"/>
      <w:marBottom w:val="0"/>
      <w:divBdr>
        <w:top w:val="none" w:sz="0" w:space="0" w:color="auto"/>
        <w:left w:val="none" w:sz="0" w:space="0" w:color="auto"/>
        <w:bottom w:val="none" w:sz="0" w:space="0" w:color="auto"/>
        <w:right w:val="none" w:sz="0" w:space="0" w:color="auto"/>
      </w:divBdr>
    </w:div>
    <w:div w:id="1626234768">
      <w:bodyDiv w:val="1"/>
      <w:marLeft w:val="0"/>
      <w:marRight w:val="0"/>
      <w:marTop w:val="0"/>
      <w:marBottom w:val="0"/>
      <w:divBdr>
        <w:top w:val="none" w:sz="0" w:space="0" w:color="auto"/>
        <w:left w:val="none" w:sz="0" w:space="0" w:color="auto"/>
        <w:bottom w:val="none" w:sz="0" w:space="0" w:color="auto"/>
        <w:right w:val="none" w:sz="0" w:space="0" w:color="auto"/>
      </w:divBdr>
    </w:div>
    <w:div w:id="2069836616">
      <w:bodyDiv w:val="1"/>
      <w:marLeft w:val="0"/>
      <w:marRight w:val="0"/>
      <w:marTop w:val="0"/>
      <w:marBottom w:val="0"/>
      <w:divBdr>
        <w:top w:val="none" w:sz="0" w:space="0" w:color="auto"/>
        <w:left w:val="none" w:sz="0" w:space="0" w:color="auto"/>
        <w:bottom w:val="none" w:sz="0" w:space="0" w:color="auto"/>
        <w:right w:val="none" w:sz="0" w:space="0" w:color="auto"/>
      </w:divBdr>
    </w:div>
    <w:div w:id="211393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F\Ranadeb\AssQF2508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F\Ranadeb\AssQF2508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plotArea>
      <c:layout>
        <c:manualLayout>
          <c:layoutTarget val="inner"/>
          <c:xMode val="edge"/>
          <c:yMode val="edge"/>
          <c:x val="9.8571741032371027E-2"/>
          <c:y val="5.1400554097404488E-2"/>
          <c:w val="0.56874081364829721"/>
          <c:h val="0.79822506561679785"/>
        </c:manualLayout>
      </c:layout>
      <c:scatterChart>
        <c:scatterStyle val="lineMarker"/>
        <c:ser>
          <c:idx val="0"/>
          <c:order val="0"/>
          <c:tx>
            <c:v>Original series</c:v>
          </c:tx>
          <c:marker>
            <c:symbol val="none"/>
          </c:marker>
          <c:xVal>
            <c:numRef>
              <c:f>Prob5!$J$2:$J$17</c:f>
              <c:numCache>
                <c:formatCode>General</c:formatCode>
                <c:ptCount val="16"/>
                <c:pt idx="0">
                  <c:v>1997</c:v>
                </c:pt>
                <c:pt idx="1">
                  <c:v>1997.25</c:v>
                </c:pt>
                <c:pt idx="2">
                  <c:v>1997.5</c:v>
                </c:pt>
                <c:pt idx="3">
                  <c:v>1997.75</c:v>
                </c:pt>
                <c:pt idx="4">
                  <c:v>1998</c:v>
                </c:pt>
                <c:pt idx="5">
                  <c:v>1998.25</c:v>
                </c:pt>
                <c:pt idx="6">
                  <c:v>1998.5</c:v>
                </c:pt>
                <c:pt idx="7">
                  <c:v>1998.75</c:v>
                </c:pt>
                <c:pt idx="8">
                  <c:v>1999</c:v>
                </c:pt>
                <c:pt idx="9">
                  <c:v>1999.25</c:v>
                </c:pt>
                <c:pt idx="10">
                  <c:v>1999.5</c:v>
                </c:pt>
                <c:pt idx="11">
                  <c:v>1999.75</c:v>
                </c:pt>
                <c:pt idx="12">
                  <c:v>2000</c:v>
                </c:pt>
                <c:pt idx="13">
                  <c:v>2000.25</c:v>
                </c:pt>
                <c:pt idx="14">
                  <c:v>2000.5</c:v>
                </c:pt>
                <c:pt idx="15">
                  <c:v>2000.75</c:v>
                </c:pt>
              </c:numCache>
            </c:numRef>
          </c:xVal>
          <c:yVal>
            <c:numRef>
              <c:f>Prob5!$M$2:$M$17</c:f>
              <c:numCache>
                <c:formatCode>General</c:formatCode>
                <c:ptCount val="16"/>
                <c:pt idx="0">
                  <c:v>441.1</c:v>
                </c:pt>
                <c:pt idx="1">
                  <c:v>397.7</c:v>
                </c:pt>
                <c:pt idx="2">
                  <c:v>396.1</c:v>
                </c:pt>
                <c:pt idx="3">
                  <c:v>472.8</c:v>
                </c:pt>
                <c:pt idx="4">
                  <c:v>476.4</c:v>
                </c:pt>
                <c:pt idx="5">
                  <c:v>454.4</c:v>
                </c:pt>
                <c:pt idx="6">
                  <c:v>450.8</c:v>
                </c:pt>
                <c:pt idx="7">
                  <c:v>553.5</c:v>
                </c:pt>
                <c:pt idx="8">
                  <c:v>580.70000000000005</c:v>
                </c:pt>
                <c:pt idx="9">
                  <c:v>573.20000000000005</c:v>
                </c:pt>
                <c:pt idx="10">
                  <c:v>571.6</c:v>
                </c:pt>
                <c:pt idx="11">
                  <c:v>703.6</c:v>
                </c:pt>
                <c:pt idx="12">
                  <c:v>692</c:v>
                </c:pt>
                <c:pt idx="13">
                  <c:v>676.5</c:v>
                </c:pt>
                <c:pt idx="14">
                  <c:v>659.9</c:v>
                </c:pt>
                <c:pt idx="15">
                  <c:v>752.8</c:v>
                </c:pt>
              </c:numCache>
            </c:numRef>
          </c:yVal>
        </c:ser>
        <c:ser>
          <c:idx val="1"/>
          <c:order val="1"/>
          <c:tx>
            <c:v>Trend line</c:v>
          </c:tx>
          <c:marker>
            <c:symbol val="none"/>
          </c:marker>
          <c:xVal>
            <c:numRef>
              <c:f>Prob5!$J$2:$J$17</c:f>
              <c:numCache>
                <c:formatCode>General</c:formatCode>
                <c:ptCount val="16"/>
                <c:pt idx="0">
                  <c:v>1997</c:v>
                </c:pt>
                <c:pt idx="1">
                  <c:v>1997.25</c:v>
                </c:pt>
                <c:pt idx="2">
                  <c:v>1997.5</c:v>
                </c:pt>
                <c:pt idx="3">
                  <c:v>1997.75</c:v>
                </c:pt>
                <c:pt idx="4">
                  <c:v>1998</c:v>
                </c:pt>
                <c:pt idx="5">
                  <c:v>1998.25</c:v>
                </c:pt>
                <c:pt idx="6">
                  <c:v>1998.5</c:v>
                </c:pt>
                <c:pt idx="7">
                  <c:v>1998.75</c:v>
                </c:pt>
                <c:pt idx="8">
                  <c:v>1999</c:v>
                </c:pt>
                <c:pt idx="9">
                  <c:v>1999.25</c:v>
                </c:pt>
                <c:pt idx="10">
                  <c:v>1999.5</c:v>
                </c:pt>
                <c:pt idx="11">
                  <c:v>1999.75</c:v>
                </c:pt>
                <c:pt idx="12">
                  <c:v>2000</c:v>
                </c:pt>
                <c:pt idx="13">
                  <c:v>2000.25</c:v>
                </c:pt>
                <c:pt idx="14">
                  <c:v>2000.5</c:v>
                </c:pt>
                <c:pt idx="15">
                  <c:v>2000.75</c:v>
                </c:pt>
              </c:numCache>
            </c:numRef>
          </c:xVal>
          <c:yVal>
            <c:numRef>
              <c:f>Prob5!$N$2:$N$17</c:f>
              <c:numCache>
                <c:formatCode>General</c:formatCode>
                <c:ptCount val="16"/>
                <c:pt idx="2">
                  <c:v>436.82</c:v>
                </c:pt>
                <c:pt idx="3">
                  <c:v>439.47999999999962</c:v>
                </c:pt>
                <c:pt idx="4">
                  <c:v>450.10000000000008</c:v>
                </c:pt>
                <c:pt idx="5">
                  <c:v>481.57999999999993</c:v>
                </c:pt>
                <c:pt idx="6">
                  <c:v>503.16</c:v>
                </c:pt>
                <c:pt idx="7">
                  <c:v>522.5200000000001</c:v>
                </c:pt>
                <c:pt idx="8">
                  <c:v>545.95999999999947</c:v>
                </c:pt>
                <c:pt idx="9">
                  <c:v>596.52</c:v>
                </c:pt>
                <c:pt idx="10">
                  <c:v>624.22</c:v>
                </c:pt>
                <c:pt idx="11">
                  <c:v>643.38</c:v>
                </c:pt>
                <c:pt idx="12">
                  <c:v>660.72</c:v>
                </c:pt>
                <c:pt idx="13">
                  <c:v>696.95999999999947</c:v>
                </c:pt>
              </c:numCache>
            </c:numRef>
          </c:yVal>
        </c:ser>
        <c:ser>
          <c:idx val="4"/>
          <c:order val="2"/>
          <c:tx>
            <c:strRef>
              <c:f>Prob5!$S$1</c:f>
              <c:strCache>
                <c:ptCount val="1"/>
                <c:pt idx="0">
                  <c:v>De-seasonalised series</c:v>
                </c:pt>
              </c:strCache>
            </c:strRef>
          </c:tx>
          <c:marker>
            <c:symbol val="none"/>
          </c:marker>
          <c:xVal>
            <c:numRef>
              <c:f>Prob5!$J$2:$J$17</c:f>
              <c:numCache>
                <c:formatCode>General</c:formatCode>
                <c:ptCount val="16"/>
                <c:pt idx="0">
                  <c:v>1997</c:v>
                </c:pt>
                <c:pt idx="1">
                  <c:v>1997.25</c:v>
                </c:pt>
                <c:pt idx="2">
                  <c:v>1997.5</c:v>
                </c:pt>
                <c:pt idx="3">
                  <c:v>1997.75</c:v>
                </c:pt>
                <c:pt idx="4">
                  <c:v>1998</c:v>
                </c:pt>
                <c:pt idx="5">
                  <c:v>1998.25</c:v>
                </c:pt>
                <c:pt idx="6">
                  <c:v>1998.5</c:v>
                </c:pt>
                <c:pt idx="7">
                  <c:v>1998.75</c:v>
                </c:pt>
                <c:pt idx="8">
                  <c:v>1999</c:v>
                </c:pt>
                <c:pt idx="9">
                  <c:v>1999.25</c:v>
                </c:pt>
                <c:pt idx="10">
                  <c:v>1999.5</c:v>
                </c:pt>
                <c:pt idx="11">
                  <c:v>1999.75</c:v>
                </c:pt>
                <c:pt idx="12">
                  <c:v>2000</c:v>
                </c:pt>
                <c:pt idx="13">
                  <c:v>2000.25</c:v>
                </c:pt>
                <c:pt idx="14">
                  <c:v>2000.5</c:v>
                </c:pt>
                <c:pt idx="15">
                  <c:v>2000.75</c:v>
                </c:pt>
              </c:numCache>
            </c:numRef>
          </c:xVal>
          <c:yVal>
            <c:numRef>
              <c:f>Prob5!$S$2:$S$17</c:f>
              <c:numCache>
                <c:formatCode>0.0</c:formatCode>
                <c:ptCount val="16"/>
                <c:pt idx="0">
                  <c:v>424.51051182961896</c:v>
                </c:pt>
                <c:pt idx="1">
                  <c:v>409.15743598702898</c:v>
                </c:pt>
                <c:pt idx="2">
                  <c:v>431.30456187606575</c:v>
                </c:pt>
                <c:pt idx="3">
                  <c:v>441.64344484572877</c:v>
                </c:pt>
                <c:pt idx="4">
                  <c:v>458.48290146368214</c:v>
                </c:pt>
                <c:pt idx="5">
                  <c:v>467.49092007167656</c:v>
                </c:pt>
                <c:pt idx="6">
                  <c:v>490.86618655321899</c:v>
                </c:pt>
                <c:pt idx="7">
                  <c:v>517.02547953069177</c:v>
                </c:pt>
                <c:pt idx="8">
                  <c:v>558.86024533996749</c:v>
                </c:pt>
                <c:pt idx="9">
                  <c:v>589.71345815379755</c:v>
                </c:pt>
                <c:pt idx="10">
                  <c:v>622.4026447067879</c:v>
                </c:pt>
                <c:pt idx="11">
                  <c:v>657.23419584063959</c:v>
                </c:pt>
                <c:pt idx="12">
                  <c:v>665.97432370459376</c:v>
                </c:pt>
                <c:pt idx="13">
                  <c:v>695.98945296762827</c:v>
                </c:pt>
                <c:pt idx="14">
                  <c:v>718.55056900281522</c:v>
                </c:pt>
                <c:pt idx="15">
                  <c:v>703.19201624336802</c:v>
                </c:pt>
              </c:numCache>
            </c:numRef>
          </c:yVal>
        </c:ser>
        <c:axId val="113931008"/>
        <c:axId val="113932544"/>
      </c:scatterChart>
      <c:valAx>
        <c:axId val="113931008"/>
        <c:scaling>
          <c:orientation val="minMax"/>
          <c:min val="1996"/>
        </c:scaling>
        <c:axPos val="b"/>
        <c:numFmt formatCode="General" sourceLinked="1"/>
        <c:tickLblPos val="nextTo"/>
        <c:crossAx val="113932544"/>
        <c:crosses val="autoZero"/>
        <c:crossBetween val="midCat"/>
      </c:valAx>
      <c:valAx>
        <c:axId val="113932544"/>
        <c:scaling>
          <c:orientation val="minMax"/>
          <c:min val="300"/>
        </c:scaling>
        <c:axPos val="l"/>
        <c:majorGridlines/>
        <c:numFmt formatCode="General" sourceLinked="1"/>
        <c:tickLblPos val="nextTo"/>
        <c:crossAx val="113931008"/>
        <c:crosses val="autoZero"/>
        <c:crossBetween val="midCat"/>
      </c:valAx>
    </c:plotArea>
    <c:legend>
      <c:legendPos val="r"/>
      <c:layout>
        <c:manualLayout>
          <c:xMode val="edge"/>
          <c:yMode val="edge"/>
          <c:x val="0.72047222222222218"/>
          <c:y val="0.29572032662583841"/>
          <c:w val="0.24619444444444494"/>
          <c:h val="0.45948490813648363"/>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chart>
    <c:title/>
    <c:plotArea>
      <c:layout/>
      <c:scatterChart>
        <c:scatterStyle val="lineMarker"/>
        <c:ser>
          <c:idx val="0"/>
          <c:order val="0"/>
          <c:tx>
            <c:strRef>
              <c:f>Prob6!$N$1</c:f>
              <c:strCache>
                <c:ptCount val="1"/>
                <c:pt idx="0">
                  <c:v>new clients</c:v>
                </c:pt>
              </c:strCache>
            </c:strRef>
          </c:tx>
          <c:marker>
            <c:symbol val="none"/>
          </c:marker>
          <c:xVal>
            <c:numRef>
              <c:f>Prob6!$K$2:$K$17</c:f>
              <c:numCache>
                <c:formatCode>General</c:formatCode>
                <c:ptCount val="16"/>
                <c:pt idx="0">
                  <c:v>2006</c:v>
                </c:pt>
                <c:pt idx="1">
                  <c:v>2006.25</c:v>
                </c:pt>
                <c:pt idx="2">
                  <c:v>2006.5</c:v>
                </c:pt>
                <c:pt idx="3">
                  <c:v>2006.75</c:v>
                </c:pt>
                <c:pt idx="4">
                  <c:v>2007</c:v>
                </c:pt>
                <c:pt idx="5">
                  <c:v>2007.25</c:v>
                </c:pt>
                <c:pt idx="6">
                  <c:v>2007.5</c:v>
                </c:pt>
                <c:pt idx="7">
                  <c:v>2007.75</c:v>
                </c:pt>
                <c:pt idx="8">
                  <c:v>2008</c:v>
                </c:pt>
                <c:pt idx="9">
                  <c:v>2008.25</c:v>
                </c:pt>
                <c:pt idx="10">
                  <c:v>2008.5</c:v>
                </c:pt>
                <c:pt idx="11">
                  <c:v>2008.75</c:v>
                </c:pt>
                <c:pt idx="12">
                  <c:v>2009</c:v>
                </c:pt>
                <c:pt idx="13">
                  <c:v>2009.25</c:v>
                </c:pt>
                <c:pt idx="14">
                  <c:v>2009.5</c:v>
                </c:pt>
                <c:pt idx="15">
                  <c:v>2009.75</c:v>
                </c:pt>
              </c:numCache>
            </c:numRef>
          </c:xVal>
          <c:yVal>
            <c:numRef>
              <c:f>Prob6!$N$2:$N$17</c:f>
              <c:numCache>
                <c:formatCode>General</c:formatCode>
                <c:ptCount val="16"/>
                <c:pt idx="0">
                  <c:v>218</c:v>
                </c:pt>
                <c:pt idx="1">
                  <c:v>250</c:v>
                </c:pt>
                <c:pt idx="2">
                  <c:v>244</c:v>
                </c:pt>
                <c:pt idx="3">
                  <c:v>229</c:v>
                </c:pt>
                <c:pt idx="4">
                  <c:v>190</c:v>
                </c:pt>
                <c:pt idx="5">
                  <c:v>220</c:v>
                </c:pt>
                <c:pt idx="6">
                  <c:v>228</c:v>
                </c:pt>
                <c:pt idx="7">
                  <c:v>221</c:v>
                </c:pt>
                <c:pt idx="8">
                  <c:v>236</c:v>
                </c:pt>
                <c:pt idx="9">
                  <c:v>265</c:v>
                </c:pt>
                <c:pt idx="10">
                  <c:v>263</c:v>
                </c:pt>
                <c:pt idx="11">
                  <c:v>248</c:v>
                </c:pt>
                <c:pt idx="12">
                  <c:v>218</c:v>
                </c:pt>
                <c:pt idx="13">
                  <c:v>241</c:v>
                </c:pt>
                <c:pt idx="14">
                  <c:v>240</c:v>
                </c:pt>
                <c:pt idx="15">
                  <c:v>231</c:v>
                </c:pt>
              </c:numCache>
            </c:numRef>
          </c:yVal>
        </c:ser>
        <c:axId val="113939968"/>
        <c:axId val="113941504"/>
      </c:scatterChart>
      <c:valAx>
        <c:axId val="113939968"/>
        <c:scaling>
          <c:orientation val="minMax"/>
        </c:scaling>
        <c:axPos val="b"/>
        <c:numFmt formatCode="General" sourceLinked="1"/>
        <c:tickLblPos val="nextTo"/>
        <c:crossAx val="113941504"/>
        <c:crosses val="autoZero"/>
        <c:crossBetween val="midCat"/>
      </c:valAx>
      <c:valAx>
        <c:axId val="113941504"/>
        <c:scaling>
          <c:orientation val="minMax"/>
        </c:scaling>
        <c:axPos val="l"/>
        <c:majorGridlines/>
        <c:numFmt formatCode="General" sourceLinked="1"/>
        <c:tickLblPos val="nextTo"/>
        <c:crossAx val="113939968"/>
        <c:crosses val="autoZero"/>
        <c:crossBetween val="midCat"/>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findtutoronline</dc:creator>
  <cp:lastModifiedBy>SONY</cp:lastModifiedBy>
  <cp:revision>2</cp:revision>
  <dcterms:created xsi:type="dcterms:W3CDTF">2016-02-21T09:25:00Z</dcterms:created>
  <dcterms:modified xsi:type="dcterms:W3CDTF">2016-02-21T09:25:00Z</dcterms:modified>
</cp:coreProperties>
</file>