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E" w:rsidRPr="005C33E2" w:rsidRDefault="00F33B9D" w:rsidP="002141B1">
      <w:pPr>
        <w:pStyle w:val="Title"/>
        <w:rPr>
          <w:sz w:val="28"/>
          <w:szCs w:val="19"/>
        </w:rPr>
      </w:pPr>
      <w:r w:rsidRPr="005C33E2">
        <w:rPr>
          <w:sz w:val="28"/>
          <w:szCs w:val="19"/>
        </w:rPr>
        <w:t>Contribution of Cellular Industry in Indian Economy</w:t>
      </w:r>
    </w:p>
    <w:p w:rsidR="00C1207A" w:rsidRDefault="00C1207A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4F7223" w:rsidRPr="00B6162A" w:rsidRDefault="00051273" w:rsidP="00B6162A">
      <w:pPr>
        <w:spacing w:before="0" w:line="480" w:lineRule="auto"/>
        <w:jc w:val="both"/>
        <w:rPr>
          <w:sz w:val="24"/>
        </w:rPr>
      </w:pPr>
      <w:r w:rsidRPr="00B6162A">
        <w:rPr>
          <w:rFonts w:eastAsia="Times New Roman"/>
          <w:iCs w:val="0"/>
          <w:sz w:val="24"/>
          <w:lang w:eastAsia="en-GB"/>
        </w:rPr>
        <w:t xml:space="preserve">According to the data collected from Telecom Regulatory Authority of India, the cellular industry of India is </w:t>
      </w:r>
      <w:r w:rsidR="003C3A16" w:rsidRPr="00B6162A">
        <w:rPr>
          <w:rFonts w:eastAsia="Times New Roman"/>
          <w:iCs w:val="0"/>
          <w:sz w:val="24"/>
          <w:lang w:eastAsia="en-GB"/>
        </w:rPr>
        <w:t xml:space="preserve">recognised internationally </w:t>
      </w:r>
      <w:r w:rsidRPr="00B6162A">
        <w:rPr>
          <w:rFonts w:eastAsia="Times New Roman"/>
          <w:iCs w:val="0"/>
          <w:sz w:val="24"/>
          <w:lang w:eastAsia="en-GB"/>
        </w:rPr>
        <w:t xml:space="preserve">as the </w:t>
      </w:r>
      <w:r w:rsidR="003C3A16" w:rsidRPr="00B6162A">
        <w:rPr>
          <w:rFonts w:eastAsia="Times New Roman"/>
          <w:iCs w:val="0"/>
          <w:sz w:val="24"/>
          <w:lang w:eastAsia="en-GB"/>
        </w:rPr>
        <w:t>2</w:t>
      </w:r>
      <w:r w:rsidR="003C3A16" w:rsidRPr="00B6162A">
        <w:rPr>
          <w:rFonts w:eastAsia="Times New Roman"/>
          <w:iCs w:val="0"/>
          <w:sz w:val="24"/>
          <w:vertAlign w:val="superscript"/>
          <w:lang w:eastAsia="en-GB"/>
        </w:rPr>
        <w:t>nd</w:t>
      </w:r>
      <w:r w:rsidR="003C3A16" w:rsidRPr="00B6162A">
        <w:rPr>
          <w:rFonts w:eastAsia="Times New Roman"/>
          <w:iCs w:val="0"/>
          <w:sz w:val="24"/>
          <w:lang w:eastAsia="en-GB"/>
        </w:rPr>
        <w:t xml:space="preserve"> largest subscriber-based destination with a count of 1058.86 million (in the FY 2015-16)</w:t>
      </w:r>
      <w:r w:rsidR="003505A8" w:rsidRPr="00B6162A">
        <w:rPr>
          <w:rFonts w:eastAsia="Times New Roman"/>
          <w:iCs w:val="0"/>
          <w:sz w:val="24"/>
          <w:lang w:eastAsia="en-GB"/>
        </w:rPr>
        <w:t xml:space="preserve"> (</w:t>
      </w:r>
      <w:r w:rsidR="003505A8" w:rsidRPr="00B6162A">
        <w:rPr>
          <w:sz w:val="24"/>
        </w:rPr>
        <w:t>IBEF, 2017)</w:t>
      </w:r>
      <w:r w:rsidR="003C3A16" w:rsidRPr="00B6162A">
        <w:rPr>
          <w:rFonts w:eastAsia="Times New Roman"/>
          <w:iCs w:val="0"/>
          <w:sz w:val="24"/>
          <w:lang w:eastAsia="en-GB"/>
        </w:rPr>
        <w:t xml:space="preserve">. </w:t>
      </w:r>
      <w:r w:rsidR="00E742E7" w:rsidRPr="00B6162A">
        <w:rPr>
          <w:rFonts w:eastAsia="Times New Roman"/>
          <w:iCs w:val="0"/>
          <w:sz w:val="24"/>
          <w:lang w:eastAsia="en-GB"/>
        </w:rPr>
        <w:t xml:space="preserve">The records of FY 2015-16, led by </w:t>
      </w:r>
      <w:r w:rsidR="00E742E7" w:rsidRPr="00B6162A">
        <w:rPr>
          <w:sz w:val="24"/>
        </w:rPr>
        <w:t xml:space="preserve">IBEF (2017) declared that the </w:t>
      </w:r>
      <w:proofErr w:type="spellStart"/>
      <w:r w:rsidR="00E742E7" w:rsidRPr="00B6162A">
        <w:rPr>
          <w:sz w:val="24"/>
        </w:rPr>
        <w:t>t</w:t>
      </w:r>
      <w:r w:rsidRPr="00B6162A">
        <w:rPr>
          <w:rFonts w:eastAsia="Times New Roman"/>
          <w:iCs w:val="0"/>
          <w:sz w:val="24"/>
          <w:lang w:eastAsia="en-GB"/>
        </w:rPr>
        <w:t>ele</w:t>
      </w:r>
      <w:proofErr w:type="spellEnd"/>
      <w:r w:rsidRPr="00B6162A">
        <w:rPr>
          <w:rFonts w:eastAsia="Times New Roman"/>
          <w:iCs w:val="0"/>
          <w:sz w:val="24"/>
          <w:lang w:eastAsia="en-GB"/>
        </w:rPr>
        <w:t>-density</w:t>
      </w:r>
      <w:r w:rsidR="00E742E7" w:rsidRPr="00B6162A">
        <w:rPr>
          <w:rFonts w:eastAsia="Times New Roman"/>
          <w:iCs w:val="0"/>
          <w:sz w:val="24"/>
          <w:lang w:eastAsia="en-GB"/>
        </w:rPr>
        <w:t xml:space="preserve"> in the urban areas of India get a high rating of </w:t>
      </w:r>
      <w:r w:rsidRPr="00B6162A">
        <w:rPr>
          <w:rFonts w:eastAsia="Times New Roman"/>
          <w:iCs w:val="0"/>
          <w:sz w:val="24"/>
          <w:lang w:eastAsia="en-GB"/>
        </w:rPr>
        <w:t>154.01</w:t>
      </w:r>
      <w:r w:rsidR="00E742E7" w:rsidRPr="00B6162A">
        <w:rPr>
          <w:rFonts w:eastAsia="Times New Roman"/>
          <w:iCs w:val="0"/>
          <w:sz w:val="24"/>
          <w:lang w:eastAsia="en-GB"/>
        </w:rPr>
        <w:t xml:space="preserve">% as against the </w:t>
      </w:r>
      <w:proofErr w:type="spellStart"/>
      <w:r w:rsidRPr="00B6162A">
        <w:rPr>
          <w:rFonts w:eastAsia="Times New Roman"/>
          <w:iCs w:val="0"/>
          <w:sz w:val="24"/>
          <w:lang w:eastAsia="en-GB"/>
        </w:rPr>
        <w:t>tele</w:t>
      </w:r>
      <w:proofErr w:type="spellEnd"/>
      <w:r w:rsidRPr="00B6162A">
        <w:rPr>
          <w:rFonts w:eastAsia="Times New Roman"/>
          <w:iCs w:val="0"/>
          <w:sz w:val="24"/>
          <w:lang w:eastAsia="en-GB"/>
        </w:rPr>
        <w:t>-density</w:t>
      </w:r>
      <w:r w:rsidR="00E742E7" w:rsidRPr="00B6162A">
        <w:rPr>
          <w:rFonts w:eastAsia="Times New Roman"/>
          <w:iCs w:val="0"/>
          <w:sz w:val="24"/>
          <w:lang w:eastAsia="en-GB"/>
        </w:rPr>
        <w:t xml:space="preserve"> of rural India with </w:t>
      </w:r>
      <w:r w:rsidRPr="00B6162A">
        <w:rPr>
          <w:rFonts w:eastAsia="Times New Roman"/>
          <w:iCs w:val="0"/>
          <w:sz w:val="24"/>
          <w:lang w:eastAsia="en-GB"/>
        </w:rPr>
        <w:t>51.37</w:t>
      </w:r>
      <w:r w:rsidR="00E742E7" w:rsidRPr="00B6162A">
        <w:rPr>
          <w:rFonts w:eastAsia="Times New Roman"/>
          <w:iCs w:val="0"/>
          <w:sz w:val="24"/>
          <w:lang w:eastAsia="en-GB"/>
        </w:rPr>
        <w:t>%. These developments are getting directly proportionate to the growth of Indian economy</w:t>
      </w:r>
      <w:r w:rsidR="00135245" w:rsidRPr="00B6162A">
        <w:rPr>
          <w:rFonts w:eastAsia="Times New Roman"/>
          <w:iCs w:val="0"/>
          <w:sz w:val="24"/>
          <w:lang w:eastAsia="en-GB"/>
        </w:rPr>
        <w:t xml:space="preserve"> (</w:t>
      </w:r>
      <w:proofErr w:type="spellStart"/>
      <w:r w:rsidR="00135245" w:rsidRPr="00B6162A">
        <w:rPr>
          <w:rFonts w:eastAsia="Times New Roman"/>
          <w:iCs w:val="0"/>
          <w:sz w:val="24"/>
          <w:lang w:eastAsia="en-GB"/>
        </w:rPr>
        <w:t>Kaur</w:t>
      </w:r>
      <w:proofErr w:type="spellEnd"/>
      <w:r w:rsidR="00135245" w:rsidRPr="00B6162A">
        <w:rPr>
          <w:rFonts w:eastAsia="Times New Roman"/>
          <w:iCs w:val="0"/>
          <w:sz w:val="24"/>
          <w:lang w:eastAsia="en-GB"/>
        </w:rPr>
        <w:t xml:space="preserve"> &amp; </w:t>
      </w:r>
      <w:proofErr w:type="spellStart"/>
      <w:r w:rsidR="00135245" w:rsidRPr="00B6162A">
        <w:rPr>
          <w:rFonts w:eastAsia="Times New Roman"/>
          <w:iCs w:val="0"/>
          <w:sz w:val="24"/>
          <w:lang w:eastAsia="en-GB"/>
        </w:rPr>
        <w:t>Malhotra</w:t>
      </w:r>
      <w:proofErr w:type="spellEnd"/>
      <w:r w:rsidR="00135245" w:rsidRPr="00B6162A">
        <w:rPr>
          <w:rFonts w:eastAsia="Times New Roman"/>
          <w:iCs w:val="0"/>
          <w:sz w:val="24"/>
          <w:lang w:eastAsia="en-GB"/>
        </w:rPr>
        <w:t>, 2014</w:t>
      </w:r>
      <w:r w:rsidR="00EE75FE" w:rsidRPr="00B6162A">
        <w:rPr>
          <w:rFonts w:eastAsia="Times New Roman"/>
          <w:iCs w:val="0"/>
          <w:sz w:val="24"/>
          <w:lang w:eastAsia="en-GB"/>
        </w:rPr>
        <w:t>, pp. 34-38</w:t>
      </w:r>
      <w:r w:rsidR="00135245" w:rsidRPr="00B6162A">
        <w:rPr>
          <w:rFonts w:eastAsia="Times New Roman"/>
          <w:iCs w:val="0"/>
          <w:sz w:val="24"/>
          <w:lang w:eastAsia="en-GB"/>
        </w:rPr>
        <w:t>)</w:t>
      </w:r>
      <w:r w:rsidR="00E742E7" w:rsidRPr="00B6162A">
        <w:rPr>
          <w:rFonts w:eastAsia="Times New Roman"/>
          <w:iCs w:val="0"/>
          <w:sz w:val="24"/>
          <w:lang w:eastAsia="en-GB"/>
        </w:rPr>
        <w:t xml:space="preserve">. As the cellular industry of India is rising, it is also developing the Indian economy in a large scale. </w:t>
      </w:r>
      <w:r w:rsidR="004F7223" w:rsidRPr="00B6162A">
        <w:rPr>
          <w:rFonts w:eastAsia="Times New Roman"/>
          <w:iCs w:val="0"/>
          <w:sz w:val="24"/>
          <w:lang w:eastAsia="en-GB"/>
        </w:rPr>
        <w:t xml:space="preserve">A critically investigative report by </w:t>
      </w:r>
      <w:proofErr w:type="spellStart"/>
      <w:r w:rsidR="004F7223" w:rsidRPr="00B6162A">
        <w:rPr>
          <w:rFonts w:eastAsia="Times New Roman"/>
          <w:iCs w:val="0"/>
          <w:sz w:val="24"/>
          <w:lang w:eastAsia="en-GB"/>
        </w:rPr>
        <w:t>Palleti</w:t>
      </w:r>
      <w:proofErr w:type="spellEnd"/>
      <w:r w:rsidR="004F7223" w:rsidRPr="00B6162A">
        <w:rPr>
          <w:rFonts w:eastAsia="Times New Roman"/>
          <w:iCs w:val="0"/>
          <w:sz w:val="24"/>
          <w:lang w:eastAsia="en-GB"/>
        </w:rPr>
        <w:t xml:space="preserve"> (2013), about the Indian cellular industry, notes that it is at an average this industry is adding 20 million subscribers per month. Further growth gets derived by </w:t>
      </w:r>
      <w:r w:rsidR="004F7223" w:rsidRPr="00B6162A">
        <w:rPr>
          <w:sz w:val="24"/>
        </w:rPr>
        <w:t xml:space="preserve">IBEF (2017) in the </w:t>
      </w:r>
      <w:proofErr w:type="gramStart"/>
      <w:r w:rsidR="004F7223" w:rsidRPr="00B6162A">
        <w:rPr>
          <w:sz w:val="24"/>
        </w:rPr>
        <w:t>following</w:t>
      </w:r>
      <w:proofErr w:type="gramEnd"/>
      <w:r w:rsidR="004F7223" w:rsidRPr="00B6162A">
        <w:rPr>
          <w:sz w:val="24"/>
        </w:rPr>
        <w:t xml:space="preserve"> manner: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4F7223" w:rsidRPr="00B6162A" w:rsidRDefault="004F7223" w:rsidP="00C1207A">
      <w:pPr>
        <w:pStyle w:val="Caption"/>
        <w:keepNext/>
        <w:spacing w:after="0" w:line="480" w:lineRule="auto"/>
        <w:jc w:val="both"/>
        <w:rPr>
          <w:color w:val="auto"/>
          <w:sz w:val="24"/>
          <w:szCs w:val="24"/>
        </w:rPr>
      </w:pPr>
      <w:r w:rsidRPr="00B6162A">
        <w:rPr>
          <w:color w:val="auto"/>
          <w:sz w:val="24"/>
          <w:szCs w:val="24"/>
        </w:rPr>
        <w:t xml:space="preserve">Figure </w:t>
      </w:r>
      <w:r w:rsidR="00AB5DFE" w:rsidRPr="00B6162A">
        <w:rPr>
          <w:color w:val="auto"/>
          <w:sz w:val="24"/>
          <w:szCs w:val="24"/>
        </w:rPr>
        <w:fldChar w:fldCharType="begin"/>
      </w:r>
      <w:r w:rsidRPr="00B6162A">
        <w:rPr>
          <w:color w:val="auto"/>
          <w:sz w:val="24"/>
          <w:szCs w:val="24"/>
        </w:rPr>
        <w:instrText xml:space="preserve"> SEQ Figure \* ARABIC </w:instrText>
      </w:r>
      <w:r w:rsidR="00AB5DFE" w:rsidRPr="00B6162A">
        <w:rPr>
          <w:color w:val="auto"/>
          <w:sz w:val="24"/>
          <w:szCs w:val="24"/>
        </w:rPr>
        <w:fldChar w:fldCharType="separate"/>
      </w:r>
      <w:r w:rsidR="00C93036" w:rsidRPr="00B6162A">
        <w:rPr>
          <w:noProof/>
          <w:color w:val="auto"/>
          <w:sz w:val="24"/>
          <w:szCs w:val="24"/>
        </w:rPr>
        <w:t>1</w:t>
      </w:r>
      <w:r w:rsidR="00AB5DFE" w:rsidRPr="00B6162A">
        <w:rPr>
          <w:color w:val="auto"/>
          <w:sz w:val="24"/>
          <w:szCs w:val="24"/>
        </w:rPr>
        <w:fldChar w:fldCharType="end"/>
      </w:r>
      <w:r w:rsidRPr="00B6162A">
        <w:rPr>
          <w:color w:val="auto"/>
          <w:sz w:val="24"/>
          <w:szCs w:val="24"/>
        </w:rPr>
        <w:t xml:space="preserve"> Increasing subscribers in Indian Cellular Industry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  <w:r w:rsidRPr="00B6162A">
        <w:rPr>
          <w:rFonts w:eastAsia="Times New Roman"/>
          <w:iCs w:val="0"/>
          <w:noProof/>
          <w:sz w:val="24"/>
          <w:lang w:val="en-IN" w:eastAsia="en-IN"/>
        </w:rPr>
        <w:drawing>
          <wp:inline distT="0" distB="0" distL="0" distR="0">
            <wp:extent cx="4679950" cy="30226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23" w:rsidRPr="00B6162A" w:rsidRDefault="004F7223" w:rsidP="00B6162A">
      <w:pPr>
        <w:spacing w:before="0" w:line="480" w:lineRule="auto"/>
        <w:jc w:val="both"/>
        <w:rPr>
          <w:sz w:val="24"/>
        </w:rPr>
      </w:pPr>
      <w:r w:rsidRPr="00B6162A">
        <w:rPr>
          <w:rFonts w:eastAsia="Times New Roman"/>
          <w:iCs w:val="0"/>
          <w:sz w:val="24"/>
          <w:lang w:eastAsia="en-GB"/>
        </w:rPr>
        <w:t xml:space="preserve">Source: </w:t>
      </w:r>
      <w:r w:rsidRPr="00B6162A">
        <w:rPr>
          <w:sz w:val="24"/>
        </w:rPr>
        <w:t>IBEF (2017, p. 8)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C93036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  <w:r w:rsidRPr="00B6162A">
        <w:rPr>
          <w:rFonts w:eastAsia="Times New Roman"/>
          <w:iCs w:val="0"/>
          <w:sz w:val="24"/>
          <w:lang w:eastAsia="en-GB"/>
        </w:rPr>
        <w:lastRenderedPageBreak/>
        <w:t xml:space="preserve">The data accumulated in Figure 1 is from Telecom Regulatory Authority of </w:t>
      </w:r>
      <w:r w:rsidR="001B795F" w:rsidRPr="00B6162A">
        <w:rPr>
          <w:rFonts w:eastAsia="Times New Roman"/>
          <w:iCs w:val="0"/>
          <w:sz w:val="24"/>
          <w:lang w:eastAsia="en-GB"/>
        </w:rPr>
        <w:t>India that</w:t>
      </w:r>
      <w:r w:rsidRPr="00B6162A">
        <w:rPr>
          <w:rFonts w:eastAsia="Times New Roman"/>
          <w:iCs w:val="0"/>
          <w:sz w:val="24"/>
          <w:lang w:eastAsia="en-GB"/>
        </w:rPr>
        <w:t xml:space="preserve"> clearly notes that the cellular industry of India is gaining extensive expansion, which is counted at 19.96% CAGR showing 1058.86 million subscribers in the period from April 2007 to March 2016. There is a very radical development gets identified through this growth of the cellular industry. </w:t>
      </w:r>
      <w:r w:rsidR="001050CC" w:rsidRPr="00B6162A">
        <w:rPr>
          <w:rFonts w:eastAsia="Times New Roman"/>
          <w:iCs w:val="0"/>
          <w:sz w:val="24"/>
          <w:lang w:eastAsia="en-GB"/>
        </w:rPr>
        <w:t xml:space="preserve">Deloitte (2017) stated that the technologically advanced cellular domestic market of India (e-commerce not included) is at $35 billion, which is 75% more than the IT and hardware Services, of India. </w:t>
      </w:r>
      <w:r w:rsidR="00C93036" w:rsidRPr="00B6162A">
        <w:rPr>
          <w:rFonts w:eastAsia="Times New Roman"/>
          <w:iCs w:val="0"/>
          <w:sz w:val="24"/>
          <w:lang w:eastAsia="en-GB"/>
        </w:rPr>
        <w:t>This</w:t>
      </w:r>
      <w:r w:rsidRPr="00B6162A">
        <w:rPr>
          <w:rFonts w:eastAsia="Times New Roman"/>
          <w:iCs w:val="0"/>
          <w:sz w:val="24"/>
          <w:lang w:eastAsia="en-GB"/>
        </w:rPr>
        <w:t xml:space="preserve"> </w:t>
      </w:r>
      <w:r w:rsidR="00C93036" w:rsidRPr="00B6162A">
        <w:rPr>
          <w:rFonts w:eastAsia="Times New Roman"/>
          <w:iCs w:val="0"/>
          <w:sz w:val="24"/>
          <w:lang w:eastAsia="en-GB"/>
        </w:rPr>
        <w:t xml:space="preserve">trend of growth </w:t>
      </w:r>
      <w:r w:rsidRPr="00B6162A">
        <w:rPr>
          <w:rFonts w:eastAsia="Times New Roman"/>
          <w:iCs w:val="0"/>
          <w:sz w:val="24"/>
          <w:lang w:eastAsia="en-GB"/>
        </w:rPr>
        <w:t>is</w:t>
      </w:r>
      <w:r w:rsidR="00C93036" w:rsidRPr="00B6162A">
        <w:rPr>
          <w:rFonts w:eastAsia="Times New Roman"/>
          <w:iCs w:val="0"/>
          <w:sz w:val="24"/>
          <w:lang w:eastAsia="en-GB"/>
        </w:rPr>
        <w:t xml:space="preserve"> making an addition of </w:t>
      </w:r>
      <w:r w:rsidRPr="00B6162A">
        <w:rPr>
          <w:rFonts w:eastAsia="Times New Roman"/>
          <w:iCs w:val="0"/>
          <w:sz w:val="24"/>
          <w:lang w:eastAsia="en-GB"/>
        </w:rPr>
        <w:t>enormous economic</w:t>
      </w:r>
      <w:r w:rsidR="00C93036" w:rsidRPr="00B6162A">
        <w:rPr>
          <w:rFonts w:eastAsia="Times New Roman"/>
          <w:iCs w:val="0"/>
          <w:sz w:val="24"/>
          <w:lang w:eastAsia="en-GB"/>
        </w:rPr>
        <w:t xml:space="preserve"> growth to the trend of Indian revenue collection</w:t>
      </w:r>
      <w:r w:rsidRPr="00B6162A">
        <w:rPr>
          <w:rFonts w:eastAsia="Times New Roman"/>
          <w:iCs w:val="0"/>
          <w:sz w:val="24"/>
          <w:lang w:eastAsia="en-GB"/>
        </w:rPr>
        <w:t>.</w:t>
      </w:r>
      <w:r w:rsidR="00C93036" w:rsidRPr="00B6162A">
        <w:rPr>
          <w:rFonts w:eastAsia="Times New Roman"/>
          <w:iCs w:val="0"/>
          <w:sz w:val="24"/>
          <w:lang w:eastAsia="en-GB"/>
        </w:rPr>
        <w:t xml:space="preserve"> The revenue collected by Indian company from the cellular industry is growing at the rate of 7.5%. according to the information collected from Telecom Regulatory Authority of India, by </w:t>
      </w:r>
      <w:r w:rsidR="00C93036" w:rsidRPr="00B6162A">
        <w:rPr>
          <w:sz w:val="24"/>
        </w:rPr>
        <w:t>IBEF (2017) the Indian company has attained</w:t>
      </w:r>
      <w:r w:rsidR="00C93036" w:rsidRPr="00B6162A">
        <w:rPr>
          <w:rFonts w:eastAsia="Times New Roman"/>
          <w:iCs w:val="0"/>
          <w:sz w:val="24"/>
          <w:lang w:eastAsia="en-GB"/>
        </w:rPr>
        <w:t xml:space="preserve"> </w:t>
      </w:r>
      <w:r w:rsidRPr="00B6162A">
        <w:rPr>
          <w:rFonts w:eastAsia="Times New Roman"/>
          <w:iCs w:val="0"/>
          <w:sz w:val="24"/>
          <w:lang w:eastAsia="en-GB"/>
        </w:rPr>
        <w:t xml:space="preserve">41.68 billion </w:t>
      </w:r>
      <w:r w:rsidR="00C93036" w:rsidRPr="00B6162A">
        <w:rPr>
          <w:rFonts w:eastAsia="Times New Roman"/>
          <w:iCs w:val="0"/>
          <w:sz w:val="24"/>
          <w:lang w:eastAsia="en-GB"/>
        </w:rPr>
        <w:t>USD as revenue in FY15 as against 38.78 billion USD of FY14, from the cellular industry, alone (see Figure 2 for details).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C93036" w:rsidRPr="00B6162A" w:rsidRDefault="00C93036" w:rsidP="00B6162A">
      <w:pPr>
        <w:pStyle w:val="Caption"/>
        <w:keepNext/>
        <w:spacing w:line="480" w:lineRule="auto"/>
        <w:jc w:val="both"/>
        <w:rPr>
          <w:color w:val="auto"/>
          <w:sz w:val="24"/>
          <w:szCs w:val="24"/>
        </w:rPr>
      </w:pPr>
      <w:r w:rsidRPr="00B6162A">
        <w:rPr>
          <w:color w:val="auto"/>
          <w:sz w:val="24"/>
          <w:szCs w:val="24"/>
        </w:rPr>
        <w:t xml:space="preserve">Figure </w:t>
      </w:r>
      <w:r w:rsidR="00AB5DFE" w:rsidRPr="00B6162A">
        <w:rPr>
          <w:color w:val="auto"/>
          <w:sz w:val="24"/>
          <w:szCs w:val="24"/>
        </w:rPr>
        <w:fldChar w:fldCharType="begin"/>
      </w:r>
      <w:r w:rsidRPr="00B6162A">
        <w:rPr>
          <w:color w:val="auto"/>
          <w:sz w:val="24"/>
          <w:szCs w:val="24"/>
        </w:rPr>
        <w:instrText xml:space="preserve"> SEQ Figure \* ARABIC </w:instrText>
      </w:r>
      <w:r w:rsidR="00AB5DFE" w:rsidRPr="00B6162A">
        <w:rPr>
          <w:color w:val="auto"/>
          <w:sz w:val="24"/>
          <w:szCs w:val="24"/>
        </w:rPr>
        <w:fldChar w:fldCharType="separate"/>
      </w:r>
      <w:r w:rsidRPr="00B6162A">
        <w:rPr>
          <w:noProof/>
          <w:color w:val="auto"/>
          <w:sz w:val="24"/>
          <w:szCs w:val="24"/>
        </w:rPr>
        <w:t>2</w:t>
      </w:r>
      <w:r w:rsidR="00AB5DFE" w:rsidRPr="00B6162A">
        <w:rPr>
          <w:color w:val="auto"/>
          <w:sz w:val="24"/>
          <w:szCs w:val="24"/>
        </w:rPr>
        <w:fldChar w:fldCharType="end"/>
      </w:r>
      <w:r w:rsidRPr="00B6162A">
        <w:rPr>
          <w:color w:val="auto"/>
          <w:sz w:val="24"/>
          <w:szCs w:val="24"/>
        </w:rPr>
        <w:t xml:space="preserve"> Revenue collected by Indian Economy from Cellular Industry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  <w:r w:rsidRPr="00B6162A">
        <w:rPr>
          <w:rFonts w:eastAsia="Times New Roman"/>
          <w:iCs w:val="0"/>
          <w:noProof/>
          <w:sz w:val="24"/>
          <w:lang w:val="en-IN" w:eastAsia="en-IN"/>
        </w:rPr>
        <w:drawing>
          <wp:inline distT="0" distB="0" distL="0" distR="0">
            <wp:extent cx="4286250" cy="310495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96" cy="310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23" w:rsidRPr="00B6162A" w:rsidRDefault="004F7223" w:rsidP="00B6162A">
      <w:pPr>
        <w:spacing w:before="0" w:line="480" w:lineRule="auto"/>
        <w:jc w:val="both"/>
        <w:rPr>
          <w:sz w:val="24"/>
        </w:rPr>
      </w:pPr>
      <w:r w:rsidRPr="00B6162A">
        <w:rPr>
          <w:rFonts w:eastAsia="Times New Roman"/>
          <w:iCs w:val="0"/>
          <w:sz w:val="24"/>
          <w:lang w:eastAsia="en-GB"/>
        </w:rPr>
        <w:t xml:space="preserve">Source: </w:t>
      </w:r>
      <w:r w:rsidRPr="00B6162A">
        <w:rPr>
          <w:sz w:val="24"/>
        </w:rPr>
        <w:t>IBEF (2017, p. 9)</w:t>
      </w:r>
    </w:p>
    <w:p w:rsidR="004F7223" w:rsidRPr="00B6162A" w:rsidRDefault="004F7223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</w:p>
    <w:p w:rsidR="00051273" w:rsidRPr="00B6162A" w:rsidRDefault="00135245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  <w:r w:rsidRPr="00B6162A">
        <w:rPr>
          <w:rFonts w:eastAsia="Times New Roman"/>
          <w:iCs w:val="0"/>
          <w:sz w:val="24"/>
          <w:lang w:eastAsia="en-GB"/>
        </w:rPr>
        <w:lastRenderedPageBreak/>
        <w:t xml:space="preserve">As noted in the Figure 2, </w:t>
      </w:r>
      <w:r w:rsidR="000E17E2" w:rsidRPr="00B6162A">
        <w:rPr>
          <w:rFonts w:eastAsia="Times New Roman"/>
          <w:iCs w:val="0"/>
          <w:sz w:val="24"/>
          <w:lang w:eastAsia="en-GB"/>
        </w:rPr>
        <w:t>the revenue collected by Indian economy from both w</w:t>
      </w:r>
      <w:r w:rsidR="004F7223" w:rsidRPr="00B6162A">
        <w:rPr>
          <w:rFonts w:eastAsia="Times New Roman"/>
          <w:iCs w:val="0"/>
          <w:sz w:val="24"/>
          <w:lang w:eastAsia="en-GB"/>
        </w:rPr>
        <w:t xml:space="preserve">ireless </w:t>
      </w:r>
      <w:r w:rsidR="000E17E2" w:rsidRPr="00B6162A">
        <w:rPr>
          <w:rFonts w:eastAsia="Times New Roman"/>
          <w:iCs w:val="0"/>
          <w:sz w:val="24"/>
          <w:lang w:eastAsia="en-GB"/>
        </w:rPr>
        <w:t>as well as</w:t>
      </w:r>
      <w:r w:rsidR="004F7223" w:rsidRPr="00B6162A">
        <w:rPr>
          <w:rFonts w:eastAsia="Times New Roman"/>
          <w:iCs w:val="0"/>
          <w:sz w:val="24"/>
          <w:lang w:eastAsia="en-GB"/>
        </w:rPr>
        <w:t xml:space="preserve"> </w:t>
      </w:r>
      <w:proofErr w:type="spellStart"/>
      <w:r w:rsidR="004F7223" w:rsidRPr="00B6162A">
        <w:rPr>
          <w:rFonts w:eastAsia="Times New Roman"/>
          <w:iCs w:val="0"/>
          <w:sz w:val="24"/>
          <w:lang w:eastAsia="en-GB"/>
        </w:rPr>
        <w:t>wireline</w:t>
      </w:r>
      <w:proofErr w:type="spellEnd"/>
      <w:r w:rsidR="000E17E2" w:rsidRPr="00B6162A">
        <w:rPr>
          <w:rFonts w:eastAsia="Times New Roman"/>
          <w:iCs w:val="0"/>
          <w:sz w:val="24"/>
          <w:lang w:eastAsia="en-GB"/>
        </w:rPr>
        <w:t xml:space="preserve"> sectors of cellular industry, has attained a growth of 8.91% in CAGR, which is a total amount of </w:t>
      </w:r>
      <w:r w:rsidR="004F7223" w:rsidRPr="00B6162A">
        <w:rPr>
          <w:rFonts w:eastAsia="Times New Roman"/>
          <w:iCs w:val="0"/>
          <w:sz w:val="24"/>
          <w:lang w:eastAsia="en-GB"/>
        </w:rPr>
        <w:t xml:space="preserve">38.8 billion </w:t>
      </w:r>
      <w:r w:rsidR="000E17E2" w:rsidRPr="00B6162A">
        <w:rPr>
          <w:rFonts w:eastAsia="Times New Roman"/>
          <w:iCs w:val="0"/>
          <w:sz w:val="24"/>
          <w:lang w:eastAsia="en-GB"/>
        </w:rPr>
        <w:t xml:space="preserve">USD in </w:t>
      </w:r>
      <w:r w:rsidR="004F7223" w:rsidRPr="00B6162A">
        <w:rPr>
          <w:rFonts w:eastAsia="Times New Roman"/>
          <w:iCs w:val="0"/>
          <w:sz w:val="24"/>
          <w:lang w:eastAsia="en-GB"/>
        </w:rPr>
        <w:t>FY</w:t>
      </w:r>
      <w:r w:rsidR="000E17E2" w:rsidRPr="00B6162A">
        <w:rPr>
          <w:rFonts w:eastAsia="Times New Roman"/>
          <w:iCs w:val="0"/>
          <w:sz w:val="24"/>
          <w:lang w:eastAsia="en-GB"/>
        </w:rPr>
        <w:t xml:space="preserve"> 2006 to 20</w:t>
      </w:r>
      <w:r w:rsidR="004F7223" w:rsidRPr="00B6162A">
        <w:rPr>
          <w:rFonts w:eastAsia="Times New Roman"/>
          <w:iCs w:val="0"/>
          <w:sz w:val="24"/>
          <w:lang w:eastAsia="en-GB"/>
        </w:rPr>
        <w:t>14</w:t>
      </w:r>
      <w:r w:rsidR="001050CC" w:rsidRPr="00B6162A">
        <w:rPr>
          <w:rFonts w:eastAsia="Times New Roman"/>
          <w:iCs w:val="0"/>
          <w:sz w:val="24"/>
          <w:lang w:eastAsia="en-GB"/>
        </w:rPr>
        <w:t xml:space="preserve"> and further growth is yet to come</w:t>
      </w:r>
      <w:r w:rsidR="000E17E2" w:rsidRPr="00B6162A">
        <w:rPr>
          <w:rFonts w:eastAsia="Times New Roman"/>
          <w:iCs w:val="0"/>
          <w:sz w:val="24"/>
          <w:lang w:eastAsia="en-GB"/>
        </w:rPr>
        <w:t xml:space="preserve">. </w:t>
      </w:r>
      <w:r w:rsidR="001050CC" w:rsidRPr="00B6162A">
        <w:rPr>
          <w:rFonts w:eastAsia="Times New Roman"/>
          <w:iCs w:val="0"/>
          <w:sz w:val="24"/>
          <w:lang w:eastAsia="en-GB"/>
        </w:rPr>
        <w:t xml:space="preserve"> </w:t>
      </w:r>
    </w:p>
    <w:p w:rsidR="001050CC" w:rsidRPr="00B6162A" w:rsidRDefault="001050CC" w:rsidP="00B6162A">
      <w:pPr>
        <w:spacing w:before="0" w:line="480" w:lineRule="auto"/>
        <w:jc w:val="both"/>
        <w:rPr>
          <w:rFonts w:eastAsia="Times New Roman"/>
          <w:iCs w:val="0"/>
          <w:sz w:val="24"/>
          <w:lang w:eastAsia="en-GB"/>
        </w:rPr>
      </w:pPr>
      <w:r w:rsidRPr="00B6162A">
        <w:rPr>
          <w:rFonts w:eastAsia="Times New Roman"/>
          <w:iCs w:val="0"/>
          <w:sz w:val="24"/>
          <w:lang w:eastAsia="en-GB"/>
        </w:rPr>
        <w:t>On a futuristic note, keeping in consideration with the contribution of cellular industry in Indian economy, the Indian Government is planning to invest $19 billion USD to the cellular industry of India by the year 2020 (Deloitte, 2017</w:t>
      </w:r>
      <w:r w:rsidR="001B795F" w:rsidRPr="00B6162A">
        <w:rPr>
          <w:rFonts w:eastAsia="Times New Roman"/>
          <w:iCs w:val="0"/>
          <w:sz w:val="24"/>
          <w:lang w:eastAsia="en-GB"/>
        </w:rPr>
        <w:t>, p.54</w:t>
      </w:r>
      <w:r w:rsidRPr="00B6162A">
        <w:rPr>
          <w:rFonts w:eastAsia="Times New Roman"/>
          <w:iCs w:val="0"/>
          <w:sz w:val="24"/>
          <w:lang w:eastAsia="en-GB"/>
        </w:rPr>
        <w:t xml:space="preserve">).  </w:t>
      </w:r>
    </w:p>
    <w:p w:rsidR="001B795F" w:rsidRPr="00B6162A" w:rsidRDefault="001B795F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1B795F" w:rsidRDefault="001B795F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05122D" w:rsidRDefault="0005122D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</w:p>
    <w:p w:rsidR="009D1E3C" w:rsidRPr="00B6162A" w:rsidRDefault="00CA3338" w:rsidP="00B6162A">
      <w:pPr>
        <w:spacing w:before="0" w:line="480" w:lineRule="auto"/>
        <w:jc w:val="both"/>
        <w:rPr>
          <w:rFonts w:eastAsia="Times New Roman"/>
          <w:b/>
          <w:iCs w:val="0"/>
          <w:color w:val="222222"/>
          <w:sz w:val="24"/>
          <w:lang w:eastAsia="en-GB"/>
        </w:rPr>
      </w:pPr>
      <w:r>
        <w:rPr>
          <w:rFonts w:eastAsia="Times New Roman"/>
          <w:b/>
          <w:iCs w:val="0"/>
          <w:color w:val="222222"/>
          <w:sz w:val="24"/>
          <w:lang w:eastAsia="en-GB"/>
        </w:rPr>
        <w:lastRenderedPageBreak/>
        <w:t>Sources</w:t>
      </w:r>
    </w:p>
    <w:p w:rsidR="004F26CB" w:rsidRPr="00B6162A" w:rsidRDefault="004F26CB" w:rsidP="00B6162A">
      <w:pPr>
        <w:spacing w:before="0" w:line="480" w:lineRule="auto"/>
        <w:ind w:left="567" w:hanging="567"/>
        <w:jc w:val="both"/>
        <w:rPr>
          <w:rFonts w:eastAsia="Times New Roman"/>
          <w:iCs w:val="0"/>
          <w:color w:val="222222"/>
          <w:sz w:val="24"/>
          <w:lang w:eastAsia="en-GB"/>
        </w:rPr>
      </w:pPr>
      <w:proofErr w:type="gramStart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Deloitte (2017) </w:t>
      </w:r>
      <w:r w:rsidRPr="00B6162A">
        <w:rPr>
          <w:rFonts w:eastAsia="Times New Roman"/>
          <w:i/>
          <w:iCs w:val="0"/>
          <w:color w:val="222222"/>
          <w:sz w:val="24"/>
          <w:lang w:eastAsia="en-GB"/>
        </w:rPr>
        <w:t>Technology, Media and Telecommunications Predictions 2017</w:t>
      </w:r>
      <w:r w:rsidRPr="00B6162A">
        <w:rPr>
          <w:rFonts w:eastAsia="Times New Roman"/>
          <w:iCs w:val="0"/>
          <w:color w:val="222222"/>
          <w:sz w:val="24"/>
          <w:lang w:eastAsia="en-GB"/>
        </w:rPr>
        <w:t>.</w:t>
      </w:r>
      <w:proofErr w:type="gramEnd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 India Edition </w:t>
      </w:r>
      <w:hyperlink r:id="rId6" w:history="1">
        <w:r w:rsidRPr="00B6162A">
          <w:rPr>
            <w:rStyle w:val="Hyperlink"/>
            <w:rFonts w:eastAsia="Times New Roman"/>
            <w:iCs w:val="0"/>
            <w:sz w:val="24"/>
            <w:lang w:eastAsia="en-GB"/>
          </w:rPr>
          <w:t>https://www2.deloitte.com/content/dam/Deloitte/in/Documents/technology-media-telecommunications/in-tmt-india-predictions-2017-noexp.pdf</w:t>
        </w:r>
      </w:hyperlink>
    </w:p>
    <w:p w:rsidR="00B27F9E" w:rsidRPr="00B6162A" w:rsidRDefault="00B27F9E" w:rsidP="00B6162A">
      <w:pPr>
        <w:spacing w:before="0" w:line="480" w:lineRule="auto"/>
        <w:ind w:left="567" w:hanging="567"/>
        <w:jc w:val="both"/>
        <w:rPr>
          <w:sz w:val="24"/>
        </w:rPr>
      </w:pPr>
      <w:proofErr w:type="gramStart"/>
      <w:r w:rsidRPr="00B6162A">
        <w:rPr>
          <w:sz w:val="24"/>
        </w:rPr>
        <w:t xml:space="preserve">IBEF (2017) </w:t>
      </w:r>
      <w:r w:rsidRPr="00B6162A">
        <w:rPr>
          <w:i/>
          <w:sz w:val="24"/>
        </w:rPr>
        <w:t>Telecommunications.</w:t>
      </w:r>
      <w:proofErr w:type="gramEnd"/>
      <w:r w:rsidRPr="00B6162A">
        <w:rPr>
          <w:i/>
          <w:sz w:val="24"/>
        </w:rPr>
        <w:t xml:space="preserve"> </w:t>
      </w:r>
      <w:proofErr w:type="gramStart"/>
      <w:r w:rsidRPr="00B6162A">
        <w:rPr>
          <w:i/>
          <w:sz w:val="24"/>
        </w:rPr>
        <w:t>Indian Brand Equity Foundation</w:t>
      </w:r>
      <w:r w:rsidRPr="00B6162A">
        <w:rPr>
          <w:sz w:val="24"/>
        </w:rPr>
        <w:t>.</w:t>
      </w:r>
      <w:proofErr w:type="gramEnd"/>
      <w:r w:rsidRPr="00B6162A">
        <w:rPr>
          <w:sz w:val="24"/>
        </w:rPr>
        <w:t xml:space="preserve"> </w:t>
      </w:r>
      <w:proofErr w:type="gramStart"/>
      <w:r w:rsidR="00A427A1" w:rsidRPr="00B6162A">
        <w:rPr>
          <w:sz w:val="24"/>
        </w:rPr>
        <w:t>Indian Brand Equity Foundation.</w:t>
      </w:r>
      <w:proofErr w:type="gramEnd"/>
      <w:r w:rsidR="00A427A1" w:rsidRPr="00B6162A">
        <w:rPr>
          <w:sz w:val="24"/>
        </w:rPr>
        <w:t xml:space="preserve"> </w:t>
      </w:r>
      <w:r w:rsidRPr="00B6162A">
        <w:rPr>
          <w:sz w:val="24"/>
        </w:rPr>
        <w:t xml:space="preserve">March 2017 </w:t>
      </w:r>
      <w:r w:rsidR="00A427A1" w:rsidRPr="00B6162A">
        <w:rPr>
          <w:sz w:val="24"/>
        </w:rPr>
        <w:t>Retrieved on 2</w:t>
      </w:r>
      <w:r w:rsidR="00A427A1" w:rsidRPr="00B6162A">
        <w:rPr>
          <w:sz w:val="24"/>
          <w:vertAlign w:val="superscript"/>
        </w:rPr>
        <w:t>nd</w:t>
      </w:r>
      <w:r w:rsidR="00A427A1" w:rsidRPr="00B6162A">
        <w:rPr>
          <w:sz w:val="24"/>
        </w:rPr>
        <w:t xml:space="preserve"> of August 2017, from </w:t>
      </w:r>
      <w:r w:rsidRPr="00B6162A">
        <w:rPr>
          <w:sz w:val="24"/>
        </w:rPr>
        <w:t>https://www.ibef.org/download/Telecommunication-March-2017.pdf</w:t>
      </w:r>
    </w:p>
    <w:p w:rsidR="00135245" w:rsidRPr="00B6162A" w:rsidRDefault="00135245" w:rsidP="00B6162A">
      <w:pPr>
        <w:spacing w:before="0" w:line="480" w:lineRule="auto"/>
        <w:ind w:left="567" w:hanging="567"/>
        <w:jc w:val="both"/>
        <w:rPr>
          <w:rFonts w:eastAsia="Times New Roman"/>
          <w:iCs w:val="0"/>
          <w:color w:val="222222"/>
          <w:sz w:val="24"/>
          <w:lang w:eastAsia="en-GB"/>
        </w:rPr>
      </w:pPr>
      <w:proofErr w:type="spellStart"/>
      <w:proofErr w:type="gramStart"/>
      <w:r w:rsidRPr="00B6162A">
        <w:rPr>
          <w:rFonts w:eastAsia="Times New Roman"/>
          <w:iCs w:val="0"/>
          <w:color w:val="222222"/>
          <w:sz w:val="24"/>
          <w:lang w:eastAsia="en-GB"/>
        </w:rPr>
        <w:t>Kaur</w:t>
      </w:r>
      <w:proofErr w:type="spellEnd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, K. &amp; </w:t>
      </w:r>
      <w:proofErr w:type="spellStart"/>
      <w:r w:rsidRPr="00B6162A">
        <w:rPr>
          <w:rFonts w:eastAsia="Times New Roman"/>
          <w:iCs w:val="0"/>
          <w:color w:val="222222"/>
          <w:sz w:val="24"/>
          <w:lang w:eastAsia="en-GB"/>
        </w:rPr>
        <w:t>Malhotra</w:t>
      </w:r>
      <w:proofErr w:type="spellEnd"/>
      <w:r w:rsidRPr="00B6162A">
        <w:rPr>
          <w:rFonts w:eastAsia="Times New Roman"/>
          <w:iCs w:val="0"/>
          <w:color w:val="222222"/>
          <w:sz w:val="24"/>
          <w:lang w:eastAsia="en-GB"/>
        </w:rPr>
        <w:t>, N. (2014).</w:t>
      </w:r>
      <w:proofErr w:type="gramEnd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 Telecommunications and Economic Growth in India: Causality Analysis. </w:t>
      </w:r>
      <w:r w:rsidRPr="00B6162A">
        <w:rPr>
          <w:rFonts w:eastAsia="Times New Roman"/>
          <w:i/>
          <w:iCs w:val="0"/>
          <w:color w:val="222222"/>
          <w:sz w:val="24"/>
          <w:lang w:eastAsia="en-GB"/>
        </w:rPr>
        <w:t>IMPACT: International Journal of Research in Business Management</w:t>
      </w:r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 (IMPACT: IJRBM) ISSN</w:t>
      </w:r>
      <w:r w:rsidR="00A427A1" w:rsidRPr="00B6162A">
        <w:rPr>
          <w:rFonts w:eastAsia="Times New Roman"/>
          <w:iCs w:val="0"/>
          <w:color w:val="222222"/>
          <w:sz w:val="24"/>
          <w:lang w:eastAsia="en-GB"/>
        </w:rPr>
        <w:t xml:space="preserve"> </w:t>
      </w:r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(E): 2321-886X; </w:t>
      </w:r>
      <w:proofErr w:type="gramStart"/>
      <w:r w:rsidRPr="00B6162A">
        <w:rPr>
          <w:rFonts w:eastAsia="Times New Roman"/>
          <w:iCs w:val="0"/>
          <w:color w:val="222222"/>
          <w:sz w:val="24"/>
          <w:lang w:eastAsia="en-GB"/>
        </w:rPr>
        <w:t>ISSN(</w:t>
      </w:r>
      <w:proofErr w:type="gramEnd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P): 2347-4572, Vol. 2, Issue 5, May 2014, 31-46 </w:t>
      </w:r>
    </w:p>
    <w:p w:rsidR="009D1E3C" w:rsidRPr="00B6162A" w:rsidRDefault="009D1E3C" w:rsidP="00B6162A">
      <w:pPr>
        <w:spacing w:before="0" w:line="480" w:lineRule="auto"/>
        <w:ind w:left="567" w:hanging="567"/>
        <w:jc w:val="both"/>
        <w:rPr>
          <w:rFonts w:eastAsia="Times New Roman"/>
          <w:iCs w:val="0"/>
          <w:color w:val="222222"/>
          <w:sz w:val="24"/>
          <w:lang w:eastAsia="en-GB"/>
        </w:rPr>
      </w:pPr>
      <w:proofErr w:type="spellStart"/>
      <w:proofErr w:type="gramStart"/>
      <w:r w:rsidRPr="00B6162A">
        <w:rPr>
          <w:rFonts w:eastAsia="Times New Roman"/>
          <w:iCs w:val="0"/>
          <w:color w:val="222222"/>
          <w:sz w:val="24"/>
          <w:lang w:eastAsia="en-GB"/>
        </w:rPr>
        <w:t>Palleti</w:t>
      </w:r>
      <w:proofErr w:type="spellEnd"/>
      <w:r w:rsidRPr="00B6162A">
        <w:rPr>
          <w:rFonts w:eastAsia="Times New Roman"/>
          <w:iCs w:val="0"/>
          <w:color w:val="222222"/>
          <w:sz w:val="24"/>
          <w:lang w:eastAsia="en-GB"/>
        </w:rPr>
        <w:t>, S. (2013).</w:t>
      </w:r>
      <w:proofErr w:type="gramEnd"/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 </w:t>
      </w:r>
      <w:r w:rsidRPr="00B6162A">
        <w:rPr>
          <w:rFonts w:eastAsia="Times New Roman"/>
          <w:i/>
          <w:iCs w:val="0"/>
          <w:color w:val="222222"/>
          <w:sz w:val="24"/>
          <w:lang w:eastAsia="en-GB"/>
        </w:rPr>
        <w:t>Brand Loyalty and its antecedents: A study on Indian Cellular Services Industry.</w:t>
      </w:r>
      <w:r w:rsidRPr="00B6162A">
        <w:rPr>
          <w:rFonts w:eastAsia="Times New Roman"/>
          <w:iCs w:val="0"/>
          <w:color w:val="222222"/>
          <w:sz w:val="24"/>
          <w:lang w:eastAsia="en-GB"/>
        </w:rPr>
        <w:t xml:space="preserve"> Scholar's Press</w:t>
      </w:r>
    </w:p>
    <w:p w:rsidR="00B27F9E" w:rsidRPr="00B6162A" w:rsidRDefault="00B27F9E" w:rsidP="00B6162A">
      <w:pPr>
        <w:spacing w:before="0" w:line="480" w:lineRule="auto"/>
        <w:jc w:val="both"/>
        <w:rPr>
          <w:sz w:val="24"/>
        </w:rPr>
      </w:pPr>
    </w:p>
    <w:p w:rsidR="00051273" w:rsidRPr="00B6162A" w:rsidRDefault="00051273" w:rsidP="00B6162A">
      <w:pPr>
        <w:spacing w:before="0" w:line="480" w:lineRule="auto"/>
        <w:jc w:val="both"/>
        <w:rPr>
          <w:sz w:val="24"/>
        </w:rPr>
      </w:pPr>
    </w:p>
    <w:sectPr w:rsidR="00051273" w:rsidRPr="00B6162A" w:rsidSect="00CB4C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F33B9D"/>
    <w:rsid w:val="00007566"/>
    <w:rsid w:val="0005122D"/>
    <w:rsid w:val="00051273"/>
    <w:rsid w:val="000E17E2"/>
    <w:rsid w:val="001050CC"/>
    <w:rsid w:val="001203EB"/>
    <w:rsid w:val="00135245"/>
    <w:rsid w:val="001A551A"/>
    <w:rsid w:val="001B795F"/>
    <w:rsid w:val="001D60F6"/>
    <w:rsid w:val="002141B1"/>
    <w:rsid w:val="002467BB"/>
    <w:rsid w:val="002C1116"/>
    <w:rsid w:val="00344AEF"/>
    <w:rsid w:val="003505A8"/>
    <w:rsid w:val="00360480"/>
    <w:rsid w:val="0037286A"/>
    <w:rsid w:val="00387BF0"/>
    <w:rsid w:val="003C3A16"/>
    <w:rsid w:val="00434C6C"/>
    <w:rsid w:val="00495511"/>
    <w:rsid w:val="004A3A3D"/>
    <w:rsid w:val="004F26CB"/>
    <w:rsid w:val="004F4D40"/>
    <w:rsid w:val="004F7223"/>
    <w:rsid w:val="00523C6E"/>
    <w:rsid w:val="00574968"/>
    <w:rsid w:val="00583E5C"/>
    <w:rsid w:val="005A4EE9"/>
    <w:rsid w:val="005C33E2"/>
    <w:rsid w:val="00697EE7"/>
    <w:rsid w:val="006B4F12"/>
    <w:rsid w:val="006C22F3"/>
    <w:rsid w:val="006D23D2"/>
    <w:rsid w:val="006F2C20"/>
    <w:rsid w:val="0076584E"/>
    <w:rsid w:val="007B3380"/>
    <w:rsid w:val="00800A78"/>
    <w:rsid w:val="0084194B"/>
    <w:rsid w:val="008A1FA0"/>
    <w:rsid w:val="008B58EA"/>
    <w:rsid w:val="008E7FC1"/>
    <w:rsid w:val="0090330D"/>
    <w:rsid w:val="00950B48"/>
    <w:rsid w:val="0099099E"/>
    <w:rsid w:val="009B1CAE"/>
    <w:rsid w:val="009D1E3C"/>
    <w:rsid w:val="009D4C2D"/>
    <w:rsid w:val="00A0664D"/>
    <w:rsid w:val="00A427A1"/>
    <w:rsid w:val="00A92FE6"/>
    <w:rsid w:val="00A96C24"/>
    <w:rsid w:val="00AB5DFE"/>
    <w:rsid w:val="00AE0FE8"/>
    <w:rsid w:val="00B27F9E"/>
    <w:rsid w:val="00B6162A"/>
    <w:rsid w:val="00B905B6"/>
    <w:rsid w:val="00BB4CA0"/>
    <w:rsid w:val="00BC500D"/>
    <w:rsid w:val="00BD280B"/>
    <w:rsid w:val="00BD71F4"/>
    <w:rsid w:val="00C1207A"/>
    <w:rsid w:val="00C93036"/>
    <w:rsid w:val="00CA3338"/>
    <w:rsid w:val="00CA3B88"/>
    <w:rsid w:val="00CB4C4D"/>
    <w:rsid w:val="00CE7CCE"/>
    <w:rsid w:val="00D028E0"/>
    <w:rsid w:val="00D03DE7"/>
    <w:rsid w:val="00D3218A"/>
    <w:rsid w:val="00D9763D"/>
    <w:rsid w:val="00E35A33"/>
    <w:rsid w:val="00E4691C"/>
    <w:rsid w:val="00E742E7"/>
    <w:rsid w:val="00EC2E63"/>
    <w:rsid w:val="00ED14DD"/>
    <w:rsid w:val="00EE75FE"/>
    <w:rsid w:val="00EF1636"/>
    <w:rsid w:val="00F33B9D"/>
    <w:rsid w:val="00F56F20"/>
    <w:rsid w:val="00F874D5"/>
    <w:rsid w:val="00F91F22"/>
    <w:rsid w:val="00FD39F4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18"/>
        <w:szCs w:val="24"/>
        <w:lang w:val="en-GB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2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7223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41B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deloitte.com/content/dam/Deloitte/in/Documents/technology-media-telecommunications/in-tmt-india-predictions-2017-noexp.pdf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untitled</dc:creator>
  <cp:lastModifiedBy>User</cp:lastModifiedBy>
  <cp:revision>2</cp:revision>
  <dcterms:created xsi:type="dcterms:W3CDTF">2017-08-04T13:27:00Z</dcterms:created>
  <dcterms:modified xsi:type="dcterms:W3CDTF">2017-08-04T13:27:00Z</dcterms:modified>
</cp:coreProperties>
</file>